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495B" w14:textId="7CCF5BEA" w:rsidR="007135C9" w:rsidRPr="00F525B6" w:rsidRDefault="00DF085F" w:rsidP="007135C9">
      <w:pPr>
        <w:tabs>
          <w:tab w:val="left" w:pos="7560"/>
        </w:tabs>
        <w:spacing w:after="0" w:line="240" w:lineRule="auto"/>
        <w:rPr>
          <w:rFonts w:eastAsia="Times New Roman" w:cs="Times New Roman"/>
          <w:b/>
          <w:sz w:val="32"/>
          <w:szCs w:val="32"/>
          <w:lang w:eastAsia="fr-FR"/>
        </w:rPr>
      </w:pPr>
      <w:r>
        <w:rPr>
          <w:rFonts w:eastAsia="Times New Roman" w:cs="Times New Roman"/>
          <w:b/>
          <w:noProof/>
          <w:sz w:val="32"/>
          <w:szCs w:val="32"/>
          <w:lang w:eastAsia="fr-FR"/>
        </w:rPr>
        <w:drawing>
          <wp:anchor distT="0" distB="0" distL="114300" distR="114300" simplePos="0" relativeHeight="251658240" behindDoc="0" locked="0" layoutInCell="1" allowOverlap="1" wp14:anchorId="4963FD18" wp14:editId="05A1E277">
            <wp:simplePos x="0" y="0"/>
            <wp:positionH relativeFrom="margin">
              <wp:posOffset>3877945</wp:posOffset>
            </wp:positionH>
            <wp:positionV relativeFrom="paragraph">
              <wp:posOffset>73660</wp:posOffset>
            </wp:positionV>
            <wp:extent cx="1779270" cy="989965"/>
            <wp:effectExtent l="0" t="0" r="0"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8" cstate="print">
                      <a:extLst>
                        <a:ext uri="{28A0092B-C50C-407E-A947-70E740481C1C}">
                          <a14:useLocalDpi xmlns:a14="http://schemas.microsoft.com/office/drawing/2010/main" val="0"/>
                        </a:ext>
                      </a:extLst>
                    </a:blip>
                    <a:srcRect t="21109" b="21913"/>
                    <a:stretch/>
                  </pic:blipFill>
                  <pic:spPr bwMode="auto">
                    <a:xfrm>
                      <a:off x="0" y="0"/>
                      <a:ext cx="1779270" cy="989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35C9">
        <w:rPr>
          <w:noProof/>
          <w:lang w:eastAsia="fr-FR"/>
        </w:rPr>
        <w:drawing>
          <wp:inline distT="0" distB="0" distL="0" distR="0" wp14:anchorId="2B4A3C8B" wp14:editId="5A01673A">
            <wp:extent cx="1790700" cy="1247775"/>
            <wp:effectExtent l="0" t="0" r="0" b="9525"/>
            <wp:docPr id="1" name="Image 1" descr="Captur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1247775"/>
                    </a:xfrm>
                    <a:prstGeom prst="rect">
                      <a:avLst/>
                    </a:prstGeom>
                    <a:noFill/>
                    <a:ln>
                      <a:noFill/>
                    </a:ln>
                  </pic:spPr>
                </pic:pic>
              </a:graphicData>
            </a:graphic>
          </wp:inline>
        </w:drawing>
      </w:r>
      <w:r w:rsidR="007135C9">
        <w:rPr>
          <w:rFonts w:eastAsia="Times New Roman" w:cs="Times New Roman"/>
          <w:b/>
          <w:sz w:val="32"/>
          <w:szCs w:val="32"/>
          <w:lang w:eastAsia="fr-FR"/>
        </w:rPr>
        <w:t xml:space="preserve"> </w:t>
      </w:r>
      <w:r w:rsidR="000B002E">
        <w:rPr>
          <w:rFonts w:eastAsia="Times New Roman" w:cs="Times New Roman"/>
          <w:b/>
          <w:sz w:val="32"/>
          <w:szCs w:val="32"/>
          <w:lang w:eastAsia="fr-FR"/>
        </w:rPr>
        <w:t xml:space="preserve">   </w:t>
      </w:r>
    </w:p>
    <w:p w14:paraId="286D1C46" w14:textId="77777777" w:rsidR="007135C9" w:rsidRDefault="007135C9" w:rsidP="007135C9">
      <w:pPr>
        <w:tabs>
          <w:tab w:val="left" w:pos="5387"/>
          <w:tab w:val="left" w:pos="5529"/>
        </w:tabs>
        <w:spacing w:after="0" w:line="240" w:lineRule="auto"/>
        <w:ind w:left="-567" w:right="-856"/>
        <w:rPr>
          <w:b/>
          <w:color w:val="00153E"/>
          <w:sz w:val="32"/>
          <w:szCs w:val="32"/>
        </w:rPr>
      </w:pPr>
    </w:p>
    <w:p w14:paraId="7CE278B3" w14:textId="77777777" w:rsidR="007135C9" w:rsidRPr="003605E5" w:rsidRDefault="007135C9" w:rsidP="007135C9">
      <w:pPr>
        <w:tabs>
          <w:tab w:val="left" w:pos="5387"/>
          <w:tab w:val="left" w:pos="5529"/>
        </w:tabs>
        <w:spacing w:after="0" w:line="240" w:lineRule="auto"/>
        <w:ind w:left="-567" w:right="-856"/>
        <w:rPr>
          <w:b/>
          <w:color w:val="00153E"/>
          <w:sz w:val="32"/>
          <w:szCs w:val="32"/>
        </w:rPr>
      </w:pPr>
      <w:r w:rsidRPr="003605E5">
        <w:rPr>
          <w:b/>
          <w:color w:val="00153E"/>
          <w:sz w:val="32"/>
          <w:szCs w:val="32"/>
        </w:rPr>
        <w:t>COMMUNIQUÉ DE PRESSE</w:t>
      </w:r>
    </w:p>
    <w:p w14:paraId="173D71FA" w14:textId="491EE7C3" w:rsidR="007135C9" w:rsidRDefault="007135C9" w:rsidP="007135C9">
      <w:pPr>
        <w:tabs>
          <w:tab w:val="left" w:pos="5387"/>
          <w:tab w:val="left" w:pos="5529"/>
        </w:tabs>
        <w:spacing w:after="0" w:line="240" w:lineRule="auto"/>
        <w:ind w:left="-567" w:right="-856"/>
      </w:pPr>
      <w:r>
        <w:rPr>
          <w:i/>
        </w:rPr>
        <w:t xml:space="preserve">Grenoble, le </w:t>
      </w:r>
      <w:r w:rsidR="003E3FD0">
        <w:rPr>
          <w:i/>
        </w:rPr>
        <w:t>12</w:t>
      </w:r>
      <w:r w:rsidR="006125F9">
        <w:rPr>
          <w:i/>
        </w:rPr>
        <w:t xml:space="preserve"> janvier 2023</w:t>
      </w:r>
    </w:p>
    <w:p w14:paraId="34559E47" w14:textId="77777777" w:rsidR="007135C9" w:rsidRDefault="007135C9" w:rsidP="00222669">
      <w:pPr>
        <w:rPr>
          <w:b/>
          <w:sz w:val="32"/>
          <w:szCs w:val="32"/>
        </w:rPr>
      </w:pPr>
    </w:p>
    <w:p w14:paraId="7D434FA4" w14:textId="6F74923A" w:rsidR="00257156" w:rsidRPr="00B4529C" w:rsidRDefault="004D4F44" w:rsidP="13C01509">
      <w:pPr>
        <w:rPr>
          <w:b/>
          <w:bCs/>
          <w:sz w:val="32"/>
          <w:szCs w:val="32"/>
        </w:rPr>
      </w:pPr>
      <w:r w:rsidRPr="13C01509">
        <w:rPr>
          <w:b/>
          <w:bCs/>
          <w:sz w:val="32"/>
          <w:szCs w:val="32"/>
        </w:rPr>
        <w:t>France 2030 : le consortium ExTASE</w:t>
      </w:r>
      <w:r w:rsidR="45E2B03F" w:rsidRPr="13C01509">
        <w:rPr>
          <w:b/>
          <w:bCs/>
          <w:sz w:val="32"/>
          <w:szCs w:val="32"/>
        </w:rPr>
        <w:t>,</w:t>
      </w:r>
      <w:r w:rsidRPr="13C01509">
        <w:rPr>
          <w:b/>
          <w:bCs/>
          <w:sz w:val="32"/>
          <w:szCs w:val="32"/>
        </w:rPr>
        <w:t xml:space="preserve"> piloté par l’UGA</w:t>
      </w:r>
      <w:r w:rsidR="00B656A7" w:rsidRPr="13C01509">
        <w:rPr>
          <w:b/>
          <w:bCs/>
          <w:sz w:val="32"/>
          <w:szCs w:val="32"/>
        </w:rPr>
        <w:t xml:space="preserve"> et la SATT Linksium</w:t>
      </w:r>
      <w:r w:rsidR="047CF959" w:rsidRPr="13C01509">
        <w:rPr>
          <w:b/>
          <w:bCs/>
          <w:sz w:val="32"/>
          <w:szCs w:val="32"/>
        </w:rPr>
        <w:t>,</w:t>
      </w:r>
      <w:r w:rsidRPr="13C01509">
        <w:rPr>
          <w:b/>
          <w:bCs/>
          <w:sz w:val="32"/>
          <w:szCs w:val="32"/>
        </w:rPr>
        <w:t xml:space="preserve"> lauréat de l’AAP </w:t>
      </w:r>
      <w:r w:rsidR="11F3B143" w:rsidRPr="13C01509">
        <w:rPr>
          <w:b/>
          <w:bCs/>
          <w:sz w:val="32"/>
          <w:szCs w:val="32"/>
        </w:rPr>
        <w:t>“M</w:t>
      </w:r>
      <w:r w:rsidRPr="13C01509">
        <w:rPr>
          <w:b/>
          <w:bCs/>
          <w:sz w:val="32"/>
          <w:szCs w:val="32"/>
        </w:rPr>
        <w:t>aturation</w:t>
      </w:r>
      <w:r w:rsidR="00807435">
        <w:rPr>
          <w:b/>
          <w:bCs/>
          <w:sz w:val="32"/>
          <w:szCs w:val="32"/>
        </w:rPr>
        <w:t xml:space="preserve"> - </w:t>
      </w:r>
      <w:r w:rsidR="2D6B5729" w:rsidRPr="13C01509">
        <w:rPr>
          <w:b/>
          <w:bCs/>
          <w:sz w:val="32"/>
          <w:szCs w:val="32"/>
        </w:rPr>
        <w:t>P</w:t>
      </w:r>
      <w:r w:rsidRPr="13C01509">
        <w:rPr>
          <w:b/>
          <w:bCs/>
          <w:sz w:val="32"/>
          <w:szCs w:val="32"/>
        </w:rPr>
        <w:t>ré</w:t>
      </w:r>
      <w:r w:rsidR="27068387" w:rsidRPr="13C01509">
        <w:rPr>
          <w:b/>
          <w:bCs/>
          <w:sz w:val="32"/>
          <w:szCs w:val="32"/>
        </w:rPr>
        <w:t>-</w:t>
      </w:r>
      <w:r w:rsidRPr="13C01509">
        <w:rPr>
          <w:b/>
          <w:bCs/>
          <w:sz w:val="32"/>
          <w:szCs w:val="32"/>
        </w:rPr>
        <w:t>maturation</w:t>
      </w:r>
      <w:r w:rsidR="67DC8167" w:rsidRPr="13C01509">
        <w:rPr>
          <w:b/>
          <w:bCs/>
          <w:sz w:val="32"/>
          <w:szCs w:val="32"/>
        </w:rPr>
        <w:t>”</w:t>
      </w:r>
    </w:p>
    <w:p w14:paraId="0B581608" w14:textId="41C21027" w:rsidR="004D4F44" w:rsidRDefault="004D4F44" w:rsidP="13C01509">
      <w:pPr>
        <w:jc w:val="both"/>
        <w:rPr>
          <w:b/>
          <w:bCs/>
          <w:color w:val="333333"/>
          <w:shd w:val="clear" w:color="auto" w:fill="FFFFFF"/>
        </w:rPr>
      </w:pPr>
      <w:r w:rsidRPr="13C01509">
        <w:rPr>
          <w:b/>
          <w:bCs/>
          <w:color w:val="333333"/>
          <w:shd w:val="clear" w:color="auto" w:fill="FFFFFF"/>
        </w:rPr>
        <w:t xml:space="preserve">Faire émerger davantage de start-up issues de la recherche, tel est l’objectif de l’appel à projets </w:t>
      </w:r>
      <w:r w:rsidR="6755E252" w:rsidRPr="13C01509">
        <w:rPr>
          <w:b/>
          <w:bCs/>
          <w:color w:val="333333"/>
          <w:shd w:val="clear" w:color="auto" w:fill="FFFFFF"/>
        </w:rPr>
        <w:t>“</w:t>
      </w:r>
      <w:r w:rsidR="675A3AA8" w:rsidRPr="13C01509">
        <w:rPr>
          <w:b/>
          <w:bCs/>
          <w:color w:val="333333"/>
          <w:shd w:val="clear" w:color="auto" w:fill="FFFFFF"/>
        </w:rPr>
        <w:t>M</w:t>
      </w:r>
      <w:r w:rsidRPr="13C01509">
        <w:rPr>
          <w:b/>
          <w:bCs/>
          <w:color w:val="333333"/>
          <w:shd w:val="clear" w:color="auto" w:fill="FFFFFF"/>
        </w:rPr>
        <w:t>aturation</w:t>
      </w:r>
      <w:r w:rsidR="00807435">
        <w:rPr>
          <w:b/>
          <w:bCs/>
          <w:color w:val="333333"/>
          <w:shd w:val="clear" w:color="auto" w:fill="FFFFFF"/>
        </w:rPr>
        <w:t xml:space="preserve"> - </w:t>
      </w:r>
      <w:r w:rsidR="5C1B69AC" w:rsidRPr="13C01509">
        <w:rPr>
          <w:b/>
          <w:bCs/>
          <w:color w:val="333333"/>
          <w:shd w:val="clear" w:color="auto" w:fill="FFFFFF"/>
        </w:rPr>
        <w:t>P</w:t>
      </w:r>
      <w:r w:rsidRPr="13C01509">
        <w:rPr>
          <w:b/>
          <w:bCs/>
          <w:color w:val="333333"/>
          <w:shd w:val="clear" w:color="auto" w:fill="FFFFFF"/>
        </w:rPr>
        <w:t>ré</w:t>
      </w:r>
      <w:r w:rsidR="25F7F032" w:rsidRPr="13C01509">
        <w:rPr>
          <w:b/>
          <w:bCs/>
          <w:color w:val="333333"/>
          <w:shd w:val="clear" w:color="auto" w:fill="FFFFFF"/>
        </w:rPr>
        <w:t>-</w:t>
      </w:r>
      <w:r w:rsidRPr="13C01509">
        <w:rPr>
          <w:b/>
          <w:bCs/>
          <w:color w:val="333333"/>
          <w:shd w:val="clear" w:color="auto" w:fill="FFFFFF"/>
        </w:rPr>
        <w:t>maturation</w:t>
      </w:r>
      <w:r w:rsidR="731DD4F5" w:rsidRPr="13C01509">
        <w:rPr>
          <w:b/>
          <w:bCs/>
          <w:color w:val="333333"/>
          <w:shd w:val="clear" w:color="auto" w:fill="FFFFFF"/>
        </w:rPr>
        <w:t>”.</w:t>
      </w:r>
      <w:r w:rsidRPr="13C01509">
        <w:rPr>
          <w:b/>
          <w:bCs/>
          <w:color w:val="333333"/>
          <w:shd w:val="clear" w:color="auto" w:fill="FFFFFF"/>
        </w:rPr>
        <w:t xml:space="preserve"> </w:t>
      </w:r>
      <w:r w:rsidR="1ED9D1FF" w:rsidRPr="13C01509">
        <w:rPr>
          <w:b/>
          <w:bCs/>
          <w:color w:val="333333"/>
          <w:shd w:val="clear" w:color="auto" w:fill="FFFFFF"/>
        </w:rPr>
        <w:t>L</w:t>
      </w:r>
      <w:r w:rsidR="00B656A7" w:rsidRPr="13C01509">
        <w:rPr>
          <w:b/>
          <w:bCs/>
          <w:color w:val="333333"/>
          <w:shd w:val="clear" w:color="auto" w:fill="FFFFFF"/>
        </w:rPr>
        <w:t xml:space="preserve">es résultats </w:t>
      </w:r>
      <w:r w:rsidRPr="13C01509">
        <w:rPr>
          <w:b/>
          <w:bCs/>
          <w:color w:val="333333"/>
          <w:shd w:val="clear" w:color="auto" w:fill="FFFFFF"/>
        </w:rPr>
        <w:t>ont été annoncé</w:t>
      </w:r>
      <w:r w:rsidR="00B656A7" w:rsidRPr="13C01509">
        <w:rPr>
          <w:b/>
          <w:bCs/>
          <w:color w:val="333333"/>
          <w:shd w:val="clear" w:color="auto" w:fill="FFFFFF"/>
        </w:rPr>
        <w:t>s</w:t>
      </w:r>
      <w:r w:rsidRPr="13C01509">
        <w:rPr>
          <w:b/>
          <w:bCs/>
          <w:color w:val="333333"/>
          <w:shd w:val="clear" w:color="auto" w:fill="FFFFFF"/>
        </w:rPr>
        <w:t xml:space="preserve"> le 9 janvier lors d’un déplacement en Lorraine de Sylvie Retailleau, ministre de l’Enseignement </w:t>
      </w:r>
      <w:r w:rsidR="00807435">
        <w:rPr>
          <w:b/>
          <w:bCs/>
          <w:color w:val="333333"/>
          <w:shd w:val="clear" w:color="auto" w:fill="FFFFFF"/>
        </w:rPr>
        <w:t>S</w:t>
      </w:r>
      <w:r w:rsidR="00807435" w:rsidRPr="13C01509">
        <w:rPr>
          <w:b/>
          <w:bCs/>
          <w:color w:val="333333"/>
          <w:shd w:val="clear" w:color="auto" w:fill="FFFFFF"/>
        </w:rPr>
        <w:t xml:space="preserve">upérieur </w:t>
      </w:r>
      <w:r w:rsidRPr="13C01509">
        <w:rPr>
          <w:b/>
          <w:bCs/>
          <w:color w:val="333333"/>
          <w:shd w:val="clear" w:color="auto" w:fill="FFFFFF"/>
        </w:rPr>
        <w:t xml:space="preserve">et de la Recherche, et de Roland Lescure, ministre délégué </w:t>
      </w:r>
      <w:r w:rsidR="021A740A" w:rsidRPr="13C01509">
        <w:rPr>
          <w:b/>
          <w:bCs/>
          <w:color w:val="333333"/>
          <w:shd w:val="clear" w:color="auto" w:fill="FFFFFF"/>
        </w:rPr>
        <w:t>chargé de</w:t>
      </w:r>
      <w:r w:rsidRPr="13C01509">
        <w:rPr>
          <w:b/>
          <w:bCs/>
          <w:color w:val="333333"/>
          <w:shd w:val="clear" w:color="auto" w:fill="FFFFFF"/>
        </w:rPr>
        <w:t xml:space="preserve"> l’Industrie. L’État va allouer 275 M€ à 17 consortiums</w:t>
      </w:r>
      <w:r w:rsidR="00807435" w:rsidRPr="13C01509">
        <w:rPr>
          <w:b/>
          <w:bCs/>
          <w:color w:val="333333"/>
          <w:shd w:val="clear" w:color="auto" w:fill="FFFFFF"/>
        </w:rPr>
        <w:t xml:space="preserve"> </w:t>
      </w:r>
      <w:r w:rsidR="00B656A7" w:rsidRPr="13C01509">
        <w:rPr>
          <w:b/>
          <w:bCs/>
          <w:color w:val="333333"/>
          <w:shd w:val="clear" w:color="auto" w:fill="FFFFFF"/>
        </w:rPr>
        <w:t xml:space="preserve">dont </w:t>
      </w:r>
      <w:r w:rsidRPr="13C01509">
        <w:rPr>
          <w:b/>
          <w:bCs/>
          <w:color w:val="333333"/>
          <w:shd w:val="clear" w:color="auto" w:fill="FFFFFF"/>
        </w:rPr>
        <w:t>ExTASE</w:t>
      </w:r>
      <w:r w:rsidRPr="0039682C">
        <w:rPr>
          <w:b/>
          <w:bCs/>
          <w:color w:val="333333"/>
          <w:shd w:val="clear" w:color="auto" w:fill="FFFFFF"/>
        </w:rPr>
        <w:t xml:space="preserve">, </w:t>
      </w:r>
      <w:r w:rsidR="003E3FD0" w:rsidRPr="0039682C">
        <w:rPr>
          <w:b/>
          <w:bCs/>
          <w:color w:val="333333"/>
        </w:rPr>
        <w:t xml:space="preserve">un programme </w:t>
      </w:r>
      <w:r w:rsidR="00B656A7" w:rsidRPr="0039682C">
        <w:rPr>
          <w:b/>
          <w:bCs/>
          <w:color w:val="333333"/>
          <w:shd w:val="clear" w:color="auto" w:fill="FFFFFF"/>
        </w:rPr>
        <w:t>porté</w:t>
      </w:r>
      <w:r w:rsidR="00807435" w:rsidRPr="0039682C">
        <w:rPr>
          <w:b/>
          <w:bCs/>
          <w:color w:val="333333"/>
          <w:shd w:val="clear" w:color="auto" w:fill="FFFFFF"/>
        </w:rPr>
        <w:t>,</w:t>
      </w:r>
      <w:r w:rsidR="00B656A7" w:rsidRPr="0039682C">
        <w:rPr>
          <w:b/>
          <w:bCs/>
          <w:color w:val="333333"/>
          <w:shd w:val="clear" w:color="auto" w:fill="FFFFFF"/>
        </w:rPr>
        <w:t xml:space="preserve"> pour </w:t>
      </w:r>
      <w:r w:rsidR="00DA09C8" w:rsidRPr="0039682C">
        <w:rPr>
          <w:b/>
          <w:bCs/>
          <w:color w:val="333333"/>
          <w:shd w:val="clear" w:color="auto" w:fill="FFFFFF"/>
        </w:rPr>
        <w:t xml:space="preserve">le volet </w:t>
      </w:r>
      <w:r w:rsidR="00807435" w:rsidRPr="0039682C">
        <w:rPr>
          <w:b/>
          <w:bCs/>
          <w:color w:val="333333"/>
          <w:shd w:val="clear" w:color="auto" w:fill="FFFFFF"/>
        </w:rPr>
        <w:t>P</w:t>
      </w:r>
      <w:r w:rsidR="00B656A7" w:rsidRPr="0039682C">
        <w:rPr>
          <w:b/>
          <w:bCs/>
          <w:color w:val="333333"/>
          <w:shd w:val="clear" w:color="auto" w:fill="FFFFFF"/>
        </w:rPr>
        <w:t>ré</w:t>
      </w:r>
      <w:r w:rsidR="3D932A96" w:rsidRPr="0039682C">
        <w:rPr>
          <w:b/>
          <w:bCs/>
          <w:color w:val="333333"/>
          <w:shd w:val="clear" w:color="auto" w:fill="FFFFFF"/>
        </w:rPr>
        <w:t>-</w:t>
      </w:r>
      <w:r w:rsidR="00B656A7" w:rsidRPr="0039682C">
        <w:rPr>
          <w:b/>
          <w:bCs/>
          <w:color w:val="333333"/>
          <w:shd w:val="clear" w:color="auto" w:fill="FFFFFF"/>
        </w:rPr>
        <w:t>maturation</w:t>
      </w:r>
      <w:r w:rsidR="007455D4" w:rsidRPr="0039682C">
        <w:rPr>
          <w:b/>
          <w:bCs/>
          <w:color w:val="333333"/>
          <w:shd w:val="clear" w:color="auto" w:fill="FFFFFF"/>
        </w:rPr>
        <w:t>,</w:t>
      </w:r>
      <w:r w:rsidR="00B656A7" w:rsidRPr="0039682C">
        <w:rPr>
          <w:b/>
          <w:bCs/>
          <w:color w:val="333333"/>
          <w:shd w:val="clear" w:color="auto" w:fill="FFFFFF"/>
        </w:rPr>
        <w:t xml:space="preserve"> par l’UGA et</w:t>
      </w:r>
      <w:r w:rsidR="007455D4" w:rsidRPr="0039682C">
        <w:rPr>
          <w:b/>
          <w:bCs/>
          <w:color w:val="333333"/>
          <w:shd w:val="clear" w:color="auto" w:fill="FFFFFF"/>
        </w:rPr>
        <w:t>,</w:t>
      </w:r>
      <w:r w:rsidR="00B656A7" w:rsidRPr="0039682C">
        <w:rPr>
          <w:b/>
          <w:bCs/>
          <w:color w:val="333333"/>
          <w:shd w:val="clear" w:color="auto" w:fill="FFFFFF"/>
        </w:rPr>
        <w:t xml:space="preserve"> pour la </w:t>
      </w:r>
      <w:r w:rsidR="007455D4" w:rsidRPr="0039682C">
        <w:rPr>
          <w:b/>
          <w:bCs/>
          <w:color w:val="333333"/>
          <w:shd w:val="clear" w:color="auto" w:fill="FFFFFF"/>
        </w:rPr>
        <w:t>M</w:t>
      </w:r>
      <w:r w:rsidR="00B656A7" w:rsidRPr="0039682C">
        <w:rPr>
          <w:b/>
          <w:bCs/>
          <w:color w:val="333333"/>
          <w:shd w:val="clear" w:color="auto" w:fill="FFFFFF"/>
        </w:rPr>
        <w:t>aturation</w:t>
      </w:r>
      <w:r w:rsidR="007455D4" w:rsidRPr="0039682C">
        <w:rPr>
          <w:b/>
          <w:bCs/>
          <w:color w:val="333333"/>
          <w:shd w:val="clear" w:color="auto" w:fill="FFFFFF"/>
        </w:rPr>
        <w:t>,</w:t>
      </w:r>
      <w:r w:rsidR="00B656A7" w:rsidRPr="0039682C">
        <w:rPr>
          <w:b/>
          <w:bCs/>
          <w:color w:val="333333"/>
          <w:shd w:val="clear" w:color="auto" w:fill="FFFFFF"/>
        </w:rPr>
        <w:t xml:space="preserve"> par </w:t>
      </w:r>
      <w:r w:rsidR="00EF0CC4" w:rsidRPr="0039682C">
        <w:rPr>
          <w:b/>
          <w:bCs/>
          <w:color w:val="333333"/>
          <w:shd w:val="clear" w:color="auto" w:fill="FFFFFF"/>
        </w:rPr>
        <w:t xml:space="preserve">Linksium, </w:t>
      </w:r>
      <w:r w:rsidR="00B656A7" w:rsidRPr="0039682C">
        <w:rPr>
          <w:b/>
          <w:bCs/>
          <w:color w:val="333333"/>
          <w:shd w:val="clear" w:color="auto" w:fill="FFFFFF"/>
        </w:rPr>
        <w:t>l</w:t>
      </w:r>
      <w:r w:rsidR="0043068E" w:rsidRPr="0039682C">
        <w:rPr>
          <w:b/>
          <w:bCs/>
          <w:color w:val="333333"/>
          <w:shd w:val="clear" w:color="auto" w:fill="FFFFFF"/>
        </w:rPr>
        <w:t xml:space="preserve">a </w:t>
      </w:r>
      <w:r w:rsidR="00A04EB9">
        <w:rPr>
          <w:b/>
          <w:bCs/>
          <w:color w:val="333333"/>
          <w:shd w:val="clear" w:color="auto" w:fill="FFFFFF"/>
        </w:rPr>
        <w:t>S</w:t>
      </w:r>
      <w:r w:rsidR="0043068E" w:rsidRPr="0039682C">
        <w:rPr>
          <w:b/>
          <w:bCs/>
          <w:color w:val="333333"/>
          <w:shd w:val="clear" w:color="auto" w:fill="FFFFFF"/>
        </w:rPr>
        <w:t>ociété d’</w:t>
      </w:r>
      <w:r w:rsidR="00DF085F">
        <w:rPr>
          <w:b/>
          <w:bCs/>
          <w:color w:val="333333"/>
          <w:shd w:val="clear" w:color="auto" w:fill="FFFFFF"/>
        </w:rPr>
        <w:t>a</w:t>
      </w:r>
      <w:r w:rsidR="0043068E" w:rsidRPr="0039682C">
        <w:rPr>
          <w:b/>
          <w:bCs/>
          <w:color w:val="333333"/>
          <w:shd w:val="clear" w:color="auto" w:fill="FFFFFF"/>
        </w:rPr>
        <w:t xml:space="preserve">ccélération </w:t>
      </w:r>
      <w:r w:rsidR="00EF0CC4" w:rsidRPr="0039682C">
        <w:rPr>
          <w:b/>
          <w:bCs/>
          <w:color w:val="333333"/>
          <w:shd w:val="clear" w:color="auto" w:fill="FFFFFF"/>
        </w:rPr>
        <w:t>du</w:t>
      </w:r>
      <w:r w:rsidR="0043068E" w:rsidRPr="0039682C">
        <w:rPr>
          <w:b/>
          <w:bCs/>
          <w:color w:val="333333"/>
          <w:shd w:val="clear" w:color="auto" w:fill="FFFFFF"/>
        </w:rPr>
        <w:t xml:space="preserve"> </w:t>
      </w:r>
      <w:r w:rsidR="00DF085F">
        <w:rPr>
          <w:b/>
          <w:bCs/>
          <w:color w:val="333333"/>
          <w:shd w:val="clear" w:color="auto" w:fill="FFFFFF"/>
        </w:rPr>
        <w:t>t</w:t>
      </w:r>
      <w:r w:rsidR="0043068E" w:rsidRPr="0039682C">
        <w:rPr>
          <w:b/>
          <w:bCs/>
          <w:color w:val="333333"/>
          <w:shd w:val="clear" w:color="auto" w:fill="FFFFFF"/>
        </w:rPr>
        <w:t xml:space="preserve">ransfert de </w:t>
      </w:r>
      <w:r w:rsidR="00DF085F">
        <w:rPr>
          <w:b/>
          <w:bCs/>
          <w:color w:val="333333"/>
          <w:shd w:val="clear" w:color="auto" w:fill="FFFFFF"/>
        </w:rPr>
        <w:t>t</w:t>
      </w:r>
      <w:r w:rsidR="0043068E" w:rsidRPr="0039682C">
        <w:rPr>
          <w:b/>
          <w:bCs/>
          <w:color w:val="333333"/>
          <w:shd w:val="clear" w:color="auto" w:fill="FFFFFF"/>
        </w:rPr>
        <w:t>echnologies</w:t>
      </w:r>
      <w:r w:rsidR="00EF0CC4" w:rsidRPr="0039682C">
        <w:rPr>
          <w:b/>
          <w:bCs/>
          <w:color w:val="333333"/>
          <w:shd w:val="clear" w:color="auto" w:fill="FFFFFF"/>
        </w:rPr>
        <w:t xml:space="preserve"> </w:t>
      </w:r>
      <w:r w:rsidR="00E20612" w:rsidRPr="0039682C">
        <w:rPr>
          <w:b/>
          <w:bCs/>
          <w:color w:val="333333"/>
          <w:shd w:val="clear" w:color="auto" w:fill="FFFFFF"/>
        </w:rPr>
        <w:t xml:space="preserve">(SATT) </w:t>
      </w:r>
      <w:r w:rsidR="00EF0CC4" w:rsidRPr="0039682C">
        <w:rPr>
          <w:b/>
          <w:bCs/>
          <w:color w:val="333333"/>
          <w:shd w:val="clear" w:color="auto" w:fill="FFFFFF"/>
        </w:rPr>
        <w:t>de Grenoble Alpes.</w:t>
      </w:r>
      <w:r w:rsidR="00B656A7" w:rsidRPr="0039682C">
        <w:rPr>
          <w:b/>
          <w:bCs/>
          <w:color w:val="333333"/>
          <w:shd w:val="clear" w:color="auto" w:fill="FFFFFF"/>
        </w:rPr>
        <w:t xml:space="preserve"> La </w:t>
      </w:r>
      <w:r w:rsidRPr="0039682C">
        <w:rPr>
          <w:b/>
          <w:bCs/>
          <w:color w:val="333333"/>
          <w:shd w:val="clear" w:color="auto" w:fill="FFFFFF"/>
        </w:rPr>
        <w:t xml:space="preserve">vocation </w:t>
      </w:r>
      <w:r w:rsidR="00B656A7" w:rsidRPr="0039682C">
        <w:rPr>
          <w:b/>
          <w:bCs/>
          <w:color w:val="333333"/>
          <w:shd w:val="clear" w:color="auto" w:fill="FFFFFF"/>
        </w:rPr>
        <w:t xml:space="preserve">de ce consortium </w:t>
      </w:r>
      <w:r w:rsidRPr="0039682C">
        <w:rPr>
          <w:b/>
          <w:bCs/>
          <w:color w:val="333333"/>
          <w:shd w:val="clear" w:color="auto" w:fill="FFFFFF"/>
        </w:rPr>
        <w:t xml:space="preserve">est de </w:t>
      </w:r>
      <w:r w:rsidR="5448CF99" w:rsidRPr="0039682C">
        <w:rPr>
          <w:b/>
          <w:bCs/>
          <w:color w:val="333333"/>
          <w:shd w:val="clear" w:color="auto" w:fill="FFFFFF"/>
        </w:rPr>
        <w:t>transférer à l’</w:t>
      </w:r>
      <w:r w:rsidRPr="0039682C">
        <w:rPr>
          <w:b/>
          <w:bCs/>
          <w:color w:val="333333"/>
          <w:shd w:val="clear" w:color="auto" w:fill="FFFFFF"/>
        </w:rPr>
        <w:t xml:space="preserve">industrie française </w:t>
      </w:r>
      <w:r w:rsidR="705997D3" w:rsidRPr="0039682C">
        <w:rPr>
          <w:b/>
          <w:bCs/>
          <w:color w:val="333333"/>
          <w:shd w:val="clear" w:color="auto" w:fill="FFFFFF"/>
        </w:rPr>
        <w:t>davantage de</w:t>
      </w:r>
      <w:r w:rsidR="00B8724E" w:rsidRPr="0039682C">
        <w:rPr>
          <w:b/>
          <w:bCs/>
          <w:color w:val="333333"/>
          <w:shd w:val="clear" w:color="auto" w:fill="FFFFFF"/>
        </w:rPr>
        <w:t xml:space="preserve"> </w:t>
      </w:r>
      <w:r w:rsidR="00807435" w:rsidRPr="0039682C">
        <w:rPr>
          <w:b/>
          <w:bCs/>
          <w:color w:val="333333"/>
          <w:shd w:val="clear" w:color="auto" w:fill="FFFFFF"/>
        </w:rPr>
        <w:t xml:space="preserve">technologies de rupture </w:t>
      </w:r>
      <w:r w:rsidR="000B002E" w:rsidRPr="0039682C">
        <w:rPr>
          <w:b/>
          <w:bCs/>
          <w:color w:val="333333"/>
          <w:shd w:val="clear" w:color="auto" w:fill="FFFFFF"/>
        </w:rPr>
        <w:t xml:space="preserve">dans le cadre </w:t>
      </w:r>
      <w:r w:rsidR="00621D91">
        <w:rPr>
          <w:b/>
          <w:bCs/>
          <w:color w:val="333333"/>
          <w:shd w:val="clear" w:color="auto" w:fill="FFFFFF"/>
        </w:rPr>
        <w:t>de la</w:t>
      </w:r>
      <w:r w:rsidR="00621D91" w:rsidRPr="0039682C">
        <w:rPr>
          <w:b/>
          <w:bCs/>
          <w:color w:val="333333"/>
          <w:shd w:val="clear" w:color="auto" w:fill="FFFFFF"/>
        </w:rPr>
        <w:t xml:space="preserve"> </w:t>
      </w:r>
      <w:r w:rsidR="00A04EB9">
        <w:rPr>
          <w:b/>
          <w:bCs/>
          <w:color w:val="333333"/>
          <w:shd w:val="clear" w:color="auto" w:fill="FFFFFF"/>
        </w:rPr>
        <w:t>S</w:t>
      </w:r>
      <w:r w:rsidR="000B002E" w:rsidRPr="0039682C">
        <w:rPr>
          <w:b/>
          <w:bCs/>
          <w:color w:val="333333"/>
          <w:shd w:val="clear" w:color="auto" w:fill="FFFFFF"/>
        </w:rPr>
        <w:t xml:space="preserve">tratégie </w:t>
      </w:r>
      <w:r w:rsidR="00DF085F">
        <w:rPr>
          <w:b/>
          <w:bCs/>
          <w:color w:val="333333"/>
          <w:shd w:val="clear" w:color="auto" w:fill="FFFFFF"/>
        </w:rPr>
        <w:t>n</w:t>
      </w:r>
      <w:r w:rsidR="000B002E" w:rsidRPr="0039682C">
        <w:rPr>
          <w:b/>
          <w:bCs/>
          <w:color w:val="333333"/>
          <w:shd w:val="clear" w:color="auto" w:fill="FFFFFF"/>
        </w:rPr>
        <w:t>ationale d’</w:t>
      </w:r>
      <w:r w:rsidR="00DF085F">
        <w:rPr>
          <w:b/>
          <w:bCs/>
          <w:color w:val="333333"/>
          <w:shd w:val="clear" w:color="auto" w:fill="FFFFFF"/>
        </w:rPr>
        <w:t>a</w:t>
      </w:r>
      <w:r w:rsidR="000B002E" w:rsidRPr="0039682C">
        <w:rPr>
          <w:b/>
          <w:bCs/>
          <w:color w:val="333333"/>
          <w:shd w:val="clear" w:color="auto" w:fill="FFFFFF"/>
        </w:rPr>
        <w:t>ccélération (SNA</w:t>
      </w:r>
      <w:r w:rsidR="000B002E" w:rsidRPr="13C01509">
        <w:rPr>
          <w:b/>
          <w:bCs/>
          <w:color w:val="333333"/>
          <w:shd w:val="clear" w:color="auto" w:fill="FFFFFF"/>
        </w:rPr>
        <w:t xml:space="preserve">) </w:t>
      </w:r>
      <w:r w:rsidR="00621D91">
        <w:rPr>
          <w:b/>
          <w:bCs/>
          <w:color w:val="333333"/>
          <w:shd w:val="clear" w:color="auto" w:fill="FFFFFF"/>
        </w:rPr>
        <w:t>« </w:t>
      </w:r>
      <w:r w:rsidR="00A04EB9">
        <w:rPr>
          <w:b/>
          <w:bCs/>
          <w:color w:val="333333"/>
          <w:shd w:val="clear" w:color="auto" w:fill="FFFFFF"/>
        </w:rPr>
        <w:t>T</w:t>
      </w:r>
      <w:r w:rsidR="00621D91">
        <w:rPr>
          <w:b/>
          <w:bCs/>
          <w:color w:val="333333"/>
          <w:shd w:val="clear" w:color="auto" w:fill="FFFFFF"/>
        </w:rPr>
        <w:t xml:space="preserve">echnologies </w:t>
      </w:r>
      <w:r w:rsidR="00DF085F">
        <w:rPr>
          <w:b/>
          <w:bCs/>
          <w:color w:val="333333"/>
          <w:shd w:val="clear" w:color="auto" w:fill="FFFFFF"/>
        </w:rPr>
        <w:t>a</w:t>
      </w:r>
      <w:r w:rsidR="00621D91">
        <w:rPr>
          <w:b/>
          <w:bCs/>
          <w:color w:val="333333"/>
          <w:shd w:val="clear" w:color="auto" w:fill="FFFFFF"/>
        </w:rPr>
        <w:t xml:space="preserve">vancées des </w:t>
      </w:r>
      <w:r w:rsidR="00DF085F">
        <w:rPr>
          <w:b/>
          <w:bCs/>
          <w:color w:val="333333"/>
          <w:shd w:val="clear" w:color="auto" w:fill="FFFFFF"/>
        </w:rPr>
        <w:t>s</w:t>
      </w:r>
      <w:r w:rsidR="00621D91">
        <w:rPr>
          <w:b/>
          <w:bCs/>
          <w:color w:val="333333"/>
          <w:shd w:val="clear" w:color="auto" w:fill="FFFFFF"/>
        </w:rPr>
        <w:t xml:space="preserve">ystèmes </w:t>
      </w:r>
      <w:r w:rsidR="00752DD2">
        <w:rPr>
          <w:b/>
          <w:bCs/>
          <w:color w:val="333333"/>
          <w:shd w:val="clear" w:color="auto" w:fill="FFFFFF"/>
        </w:rPr>
        <w:t>é</w:t>
      </w:r>
      <w:r w:rsidR="00621D91">
        <w:rPr>
          <w:b/>
          <w:bCs/>
          <w:color w:val="333333"/>
          <w:shd w:val="clear" w:color="auto" w:fill="FFFFFF"/>
        </w:rPr>
        <w:t xml:space="preserve">nergétiques » (TASE) </w:t>
      </w:r>
      <w:r w:rsidR="000B002E" w:rsidRPr="13C01509">
        <w:rPr>
          <w:b/>
          <w:bCs/>
          <w:color w:val="333333"/>
          <w:shd w:val="clear" w:color="auto" w:fill="FFFFFF"/>
        </w:rPr>
        <w:t>de France 2030</w:t>
      </w:r>
      <w:r w:rsidR="00B656A7" w:rsidRPr="13C01509">
        <w:rPr>
          <w:b/>
          <w:bCs/>
          <w:color w:val="333333"/>
          <w:shd w:val="clear" w:color="auto" w:fill="FFFFFF"/>
        </w:rPr>
        <w:t>.</w:t>
      </w:r>
    </w:p>
    <w:p w14:paraId="59C4947F" w14:textId="217EE263" w:rsidR="004D4F44" w:rsidRDefault="004D4F44" w:rsidP="13C01509">
      <w:pPr>
        <w:jc w:val="both"/>
        <w:rPr>
          <w:color w:val="333333"/>
          <w:shd w:val="clear" w:color="auto" w:fill="FFFFFF"/>
        </w:rPr>
      </w:pPr>
      <w:r w:rsidRPr="13C01509">
        <w:rPr>
          <w:color w:val="333333"/>
          <w:shd w:val="clear" w:color="auto" w:fill="FFFFFF"/>
        </w:rPr>
        <w:t>L'appel à propositions "</w:t>
      </w:r>
      <w:r w:rsidR="00E20612">
        <w:rPr>
          <w:color w:val="333333"/>
          <w:shd w:val="clear" w:color="auto" w:fill="FFFFFF"/>
        </w:rPr>
        <w:t>M</w:t>
      </w:r>
      <w:r w:rsidRPr="13C01509">
        <w:rPr>
          <w:color w:val="333333"/>
          <w:shd w:val="clear" w:color="auto" w:fill="FFFFFF"/>
        </w:rPr>
        <w:t>aturation</w:t>
      </w:r>
      <w:r w:rsidR="00E20612">
        <w:rPr>
          <w:color w:val="333333"/>
          <w:shd w:val="clear" w:color="auto" w:fill="FFFFFF"/>
        </w:rPr>
        <w:t xml:space="preserve"> – P</w:t>
      </w:r>
      <w:r w:rsidRPr="13C01509">
        <w:rPr>
          <w:color w:val="333333"/>
          <w:shd w:val="clear" w:color="auto" w:fill="FFFFFF"/>
        </w:rPr>
        <w:t>ré</w:t>
      </w:r>
      <w:r w:rsidR="00E20612">
        <w:rPr>
          <w:color w:val="333333"/>
          <w:shd w:val="clear" w:color="auto" w:fill="FFFFFF"/>
        </w:rPr>
        <w:t>-</w:t>
      </w:r>
      <w:r w:rsidRPr="13C01509">
        <w:rPr>
          <w:color w:val="333333"/>
          <w:shd w:val="clear" w:color="auto" w:fill="FFFFFF"/>
        </w:rPr>
        <w:t xml:space="preserve">maturation" </w:t>
      </w:r>
      <w:r w:rsidR="00B656A7" w:rsidRPr="13C01509">
        <w:rPr>
          <w:color w:val="333333"/>
          <w:shd w:val="clear" w:color="auto" w:fill="FFFFFF"/>
        </w:rPr>
        <w:t>de France 2030</w:t>
      </w:r>
      <w:r w:rsidRPr="13C01509">
        <w:rPr>
          <w:color w:val="333333"/>
          <w:shd w:val="clear" w:color="auto" w:fill="FFFFFF"/>
        </w:rPr>
        <w:t xml:space="preserve">, publié jeudi 16 décembre 2021, vise à "intensifier la chaîne d’accompagnement de projets d’innovation à fort potentiel, et à accélérer leur transfert vers le monde socio-économique, au bénéfice des stratégies nationales d’accélération". Un peu plus d’un an après, lundi 9 janvier 2023, l’heure est aux résultats : l’État </w:t>
      </w:r>
      <w:r w:rsidR="00FA59F5">
        <w:rPr>
          <w:color w:val="333333"/>
          <w:shd w:val="clear" w:color="auto" w:fill="FFFFFF"/>
        </w:rPr>
        <w:t xml:space="preserve">alloue </w:t>
      </w:r>
      <w:r w:rsidRPr="13C01509">
        <w:rPr>
          <w:color w:val="333333"/>
          <w:shd w:val="clear" w:color="auto" w:fill="FFFFFF"/>
        </w:rPr>
        <w:t xml:space="preserve">275 M€ </w:t>
      </w:r>
      <w:r w:rsidR="0C02EC45" w:rsidRPr="13C01509">
        <w:rPr>
          <w:color w:val="333333"/>
          <w:shd w:val="clear" w:color="auto" w:fill="FFFFFF"/>
        </w:rPr>
        <w:t>à</w:t>
      </w:r>
      <w:r w:rsidRPr="13C01509">
        <w:rPr>
          <w:color w:val="333333"/>
          <w:shd w:val="clear" w:color="auto" w:fill="FFFFFF"/>
        </w:rPr>
        <w:t xml:space="preserve"> 17 consorti</w:t>
      </w:r>
      <w:r w:rsidR="00FA59F5">
        <w:rPr>
          <w:color w:val="333333"/>
          <w:shd w:val="clear" w:color="auto" w:fill="FFFFFF"/>
        </w:rPr>
        <w:t xml:space="preserve">ums </w:t>
      </w:r>
      <w:r w:rsidRPr="13C01509">
        <w:rPr>
          <w:color w:val="333333"/>
          <w:shd w:val="clear" w:color="auto" w:fill="FFFFFF"/>
        </w:rPr>
        <w:t xml:space="preserve">composés de nombreux acteurs dont les </w:t>
      </w:r>
      <w:r w:rsidR="00E20612">
        <w:rPr>
          <w:color w:val="333333"/>
          <w:shd w:val="clear" w:color="auto" w:fill="FFFFFF"/>
        </w:rPr>
        <w:t>U</w:t>
      </w:r>
      <w:r w:rsidRPr="13C01509">
        <w:rPr>
          <w:color w:val="333333"/>
          <w:shd w:val="clear" w:color="auto" w:fill="FFFFFF"/>
        </w:rPr>
        <w:t xml:space="preserve">niversités, les </w:t>
      </w:r>
      <w:r w:rsidR="00E20612">
        <w:rPr>
          <w:color w:val="333333"/>
          <w:shd w:val="clear" w:color="auto" w:fill="FFFFFF"/>
        </w:rPr>
        <w:t>O</w:t>
      </w:r>
      <w:r w:rsidRPr="13C01509">
        <w:rPr>
          <w:color w:val="333333"/>
          <w:shd w:val="clear" w:color="auto" w:fill="FFFFFF"/>
        </w:rPr>
        <w:t xml:space="preserve">rganismes </w:t>
      </w:r>
      <w:r w:rsidR="00DF085F">
        <w:rPr>
          <w:color w:val="333333"/>
          <w:shd w:val="clear" w:color="auto" w:fill="FFFFFF"/>
        </w:rPr>
        <w:t>n</w:t>
      </w:r>
      <w:r w:rsidR="00E20612">
        <w:rPr>
          <w:color w:val="333333"/>
          <w:shd w:val="clear" w:color="auto" w:fill="FFFFFF"/>
        </w:rPr>
        <w:t xml:space="preserve">ationaux </w:t>
      </w:r>
      <w:r w:rsidRPr="13C01509">
        <w:rPr>
          <w:color w:val="333333"/>
          <w:shd w:val="clear" w:color="auto" w:fill="FFFFFF"/>
        </w:rPr>
        <w:t xml:space="preserve">de </w:t>
      </w:r>
      <w:r w:rsidR="00DF085F">
        <w:rPr>
          <w:color w:val="333333"/>
          <w:shd w:val="clear" w:color="auto" w:fill="FFFFFF"/>
        </w:rPr>
        <w:t>r</w:t>
      </w:r>
      <w:r w:rsidRPr="13C01509">
        <w:rPr>
          <w:color w:val="333333"/>
          <w:shd w:val="clear" w:color="auto" w:fill="FFFFFF"/>
        </w:rPr>
        <w:t xml:space="preserve">echerche, les </w:t>
      </w:r>
      <w:r w:rsidR="00E20612">
        <w:rPr>
          <w:color w:val="333333"/>
          <w:shd w:val="clear" w:color="auto" w:fill="FFFFFF"/>
        </w:rPr>
        <w:t>SATT</w:t>
      </w:r>
      <w:r w:rsidR="00E20612" w:rsidRPr="13C01509">
        <w:rPr>
          <w:color w:val="333333"/>
          <w:shd w:val="clear" w:color="auto" w:fill="FFFFFF"/>
        </w:rPr>
        <w:t xml:space="preserve"> </w:t>
      </w:r>
      <w:r w:rsidRPr="13C01509">
        <w:rPr>
          <w:color w:val="333333"/>
          <w:shd w:val="clear" w:color="auto" w:fill="FFFFFF"/>
        </w:rPr>
        <w:t xml:space="preserve">et les offices </w:t>
      </w:r>
      <w:r w:rsidR="00B656A7" w:rsidRPr="13C01509">
        <w:rPr>
          <w:color w:val="333333"/>
          <w:shd w:val="clear" w:color="auto" w:fill="FFFFFF"/>
        </w:rPr>
        <w:t>de transfert de technologies.</w:t>
      </w:r>
    </w:p>
    <w:p w14:paraId="33B2052B" w14:textId="017A1AFF" w:rsidR="000B002E" w:rsidRDefault="000B002E" w:rsidP="00EF198E">
      <w:pPr>
        <w:jc w:val="both"/>
        <w:rPr>
          <w:rFonts w:cstheme="minorHAnsi"/>
          <w:b/>
          <w:color w:val="333333"/>
          <w:shd w:val="clear" w:color="auto" w:fill="FFFFFF"/>
        </w:rPr>
      </w:pPr>
      <w:r w:rsidRPr="000B002E">
        <w:rPr>
          <w:rFonts w:cstheme="minorHAnsi"/>
          <w:b/>
          <w:color w:val="333333"/>
          <w:shd w:val="clear" w:color="auto" w:fill="FFFFFF"/>
        </w:rPr>
        <w:t>Le consortium ExTASE</w:t>
      </w:r>
    </w:p>
    <w:p w14:paraId="446A50A6" w14:textId="72852AB0" w:rsidR="00FB5E0B" w:rsidRPr="001D2C62" w:rsidRDefault="00FB5E0B" w:rsidP="009C4D65">
      <w:pPr>
        <w:jc w:val="both"/>
      </w:pPr>
      <w:r>
        <w:t xml:space="preserve">ExTASE </w:t>
      </w:r>
      <w:r w:rsidR="00BD735E" w:rsidRPr="13C01509">
        <w:rPr>
          <w:rFonts w:eastAsia="Times New Roman"/>
          <w:color w:val="000000" w:themeColor="text1"/>
          <w:lang w:eastAsia="fr-FR"/>
        </w:rPr>
        <w:t xml:space="preserve">est </w:t>
      </w:r>
      <w:r w:rsidRPr="13C01509">
        <w:rPr>
          <w:rFonts w:eastAsia="Times New Roman"/>
          <w:color w:val="000000" w:themeColor="text1"/>
          <w:lang w:eastAsia="fr-FR"/>
        </w:rPr>
        <w:t>un consortium fort de 18 partenaires</w:t>
      </w:r>
      <w:r w:rsidR="00E20612" w:rsidRPr="13C01509">
        <w:rPr>
          <w:rFonts w:eastAsia="Times New Roman"/>
          <w:color w:val="000000" w:themeColor="text1"/>
          <w:lang w:eastAsia="fr-FR"/>
        </w:rPr>
        <w:t>*</w:t>
      </w:r>
      <w:r w:rsidR="00D86E9E">
        <w:rPr>
          <w:rFonts w:eastAsia="Times New Roman"/>
          <w:color w:val="000000" w:themeColor="text1"/>
          <w:lang w:eastAsia="fr-FR"/>
        </w:rPr>
        <w:t xml:space="preserve"> </w:t>
      </w:r>
      <w:r w:rsidRPr="13C01509">
        <w:rPr>
          <w:rFonts w:eastAsia="Times New Roman"/>
          <w:color w:val="000000" w:themeColor="text1"/>
          <w:lang w:eastAsia="fr-FR"/>
        </w:rPr>
        <w:t>dont le CEA</w:t>
      </w:r>
      <w:r w:rsidR="00E20612">
        <w:rPr>
          <w:rFonts w:eastAsia="Times New Roman"/>
          <w:color w:val="000000" w:themeColor="text1"/>
          <w:lang w:eastAsia="fr-FR"/>
        </w:rPr>
        <w:t xml:space="preserve">, </w:t>
      </w:r>
      <w:r w:rsidRPr="13C01509">
        <w:rPr>
          <w:rFonts w:eastAsia="Times New Roman"/>
          <w:color w:val="000000" w:themeColor="text1"/>
          <w:lang w:eastAsia="fr-FR"/>
        </w:rPr>
        <w:t xml:space="preserve">plusieurs </w:t>
      </w:r>
      <w:r w:rsidR="00DF085F">
        <w:rPr>
          <w:rFonts w:eastAsia="Times New Roman"/>
          <w:color w:val="000000" w:themeColor="text1"/>
          <w:lang w:eastAsia="fr-FR"/>
        </w:rPr>
        <w:t>u</w:t>
      </w:r>
      <w:r w:rsidRPr="13C01509">
        <w:rPr>
          <w:rFonts w:eastAsia="Times New Roman"/>
          <w:color w:val="000000" w:themeColor="text1"/>
          <w:lang w:eastAsia="fr-FR"/>
        </w:rPr>
        <w:t xml:space="preserve">niversités </w:t>
      </w:r>
      <w:r w:rsidR="00E20612">
        <w:rPr>
          <w:rFonts w:eastAsia="Times New Roman"/>
          <w:color w:val="000000" w:themeColor="text1"/>
          <w:lang w:eastAsia="fr-FR"/>
        </w:rPr>
        <w:t>et</w:t>
      </w:r>
      <w:r w:rsidRPr="13C01509">
        <w:rPr>
          <w:rFonts w:eastAsia="Times New Roman"/>
          <w:color w:val="000000" w:themeColor="text1"/>
          <w:lang w:eastAsia="fr-FR"/>
        </w:rPr>
        <w:t xml:space="preserve"> </w:t>
      </w:r>
      <w:r w:rsidR="00DF085F">
        <w:rPr>
          <w:rFonts w:eastAsia="Times New Roman"/>
          <w:color w:val="000000" w:themeColor="text1"/>
          <w:lang w:eastAsia="fr-FR"/>
        </w:rPr>
        <w:t>g</w:t>
      </w:r>
      <w:r w:rsidR="009E4312" w:rsidRPr="13C01509">
        <w:rPr>
          <w:rFonts w:eastAsia="Times New Roman"/>
          <w:color w:val="000000" w:themeColor="text1"/>
          <w:lang w:eastAsia="fr-FR"/>
        </w:rPr>
        <w:t xml:space="preserve">randes </w:t>
      </w:r>
      <w:r w:rsidR="00DF085F">
        <w:rPr>
          <w:rFonts w:eastAsia="Times New Roman"/>
          <w:color w:val="000000" w:themeColor="text1"/>
          <w:lang w:eastAsia="fr-FR"/>
        </w:rPr>
        <w:t>é</w:t>
      </w:r>
      <w:r w:rsidR="00CD103E" w:rsidRPr="13C01509">
        <w:rPr>
          <w:rFonts w:eastAsia="Times New Roman"/>
          <w:color w:val="000000" w:themeColor="text1"/>
          <w:lang w:eastAsia="fr-FR"/>
        </w:rPr>
        <w:t>coles</w:t>
      </w:r>
      <w:r w:rsidR="00E20612">
        <w:rPr>
          <w:rFonts w:eastAsia="Times New Roman"/>
          <w:color w:val="000000" w:themeColor="text1"/>
          <w:lang w:eastAsia="fr-FR"/>
        </w:rPr>
        <w:t>,</w:t>
      </w:r>
      <w:r w:rsidR="00CD103E" w:rsidRPr="13C01509">
        <w:rPr>
          <w:rFonts w:eastAsia="Times New Roman"/>
          <w:color w:val="000000" w:themeColor="text1"/>
          <w:lang w:eastAsia="fr-FR"/>
        </w:rPr>
        <w:t xml:space="preserve"> </w:t>
      </w:r>
      <w:r w:rsidR="00FA59F5">
        <w:rPr>
          <w:rFonts w:eastAsia="Times New Roman"/>
          <w:color w:val="000000" w:themeColor="text1"/>
          <w:lang w:eastAsia="fr-FR"/>
        </w:rPr>
        <w:t>aux côtés de</w:t>
      </w:r>
      <w:r w:rsidR="00D86E9E">
        <w:rPr>
          <w:rFonts w:eastAsia="Times New Roman"/>
          <w:color w:val="000000" w:themeColor="text1"/>
          <w:lang w:eastAsia="fr-FR"/>
        </w:rPr>
        <w:t xml:space="preserve"> leur</w:t>
      </w:r>
      <w:r w:rsidR="00FA59F5">
        <w:rPr>
          <w:rFonts w:eastAsia="Times New Roman"/>
          <w:color w:val="000000" w:themeColor="text1"/>
          <w:lang w:eastAsia="fr-FR"/>
        </w:rPr>
        <w:t xml:space="preserve">s </w:t>
      </w:r>
      <w:r w:rsidRPr="13C01509">
        <w:rPr>
          <w:rFonts w:eastAsia="Times New Roman"/>
          <w:color w:val="000000" w:themeColor="text1"/>
          <w:lang w:eastAsia="fr-FR"/>
        </w:rPr>
        <w:t>SATT</w:t>
      </w:r>
      <w:r w:rsidR="00FA59F5">
        <w:rPr>
          <w:rFonts w:eastAsia="Times New Roman"/>
          <w:color w:val="000000" w:themeColor="text1"/>
          <w:lang w:eastAsia="fr-FR"/>
        </w:rPr>
        <w:t>s</w:t>
      </w:r>
      <w:r w:rsidR="00D86E9E">
        <w:rPr>
          <w:rFonts w:eastAsia="Times New Roman"/>
          <w:color w:val="000000" w:themeColor="text1"/>
          <w:lang w:eastAsia="fr-FR"/>
        </w:rPr>
        <w:t xml:space="preserve"> respectives</w:t>
      </w:r>
      <w:r w:rsidR="00E20612">
        <w:rPr>
          <w:rFonts w:eastAsia="Times New Roman"/>
          <w:color w:val="000000" w:themeColor="text1"/>
          <w:lang w:eastAsia="fr-FR"/>
        </w:rPr>
        <w:t>,</w:t>
      </w:r>
      <w:r w:rsidRPr="13C01509">
        <w:rPr>
          <w:rFonts w:eastAsia="Times New Roman"/>
          <w:color w:val="000000" w:themeColor="text1"/>
          <w:lang w:eastAsia="fr-FR"/>
        </w:rPr>
        <w:t xml:space="preserve"> </w:t>
      </w:r>
      <w:r w:rsidR="00E20612">
        <w:rPr>
          <w:rFonts w:eastAsia="Times New Roman"/>
          <w:color w:val="000000" w:themeColor="text1"/>
          <w:lang w:eastAsia="fr-FR"/>
        </w:rPr>
        <w:t>unis</w:t>
      </w:r>
      <w:r w:rsidR="6C6CA869" w:rsidRPr="13C01509">
        <w:rPr>
          <w:rFonts w:eastAsia="Times New Roman"/>
          <w:color w:val="000000" w:themeColor="text1"/>
          <w:lang w:eastAsia="fr-FR"/>
        </w:rPr>
        <w:t xml:space="preserve"> </w:t>
      </w:r>
      <w:r w:rsidRPr="13C01509">
        <w:rPr>
          <w:rFonts w:eastAsia="Times New Roman"/>
          <w:color w:val="000000" w:themeColor="text1"/>
          <w:lang w:eastAsia="fr-FR"/>
        </w:rPr>
        <w:t xml:space="preserve">pour intensifier le flux et l’impact des projets d’innovation issus de la recherche publique. </w:t>
      </w:r>
      <w:r w:rsidR="00E20612">
        <w:t>Les membres du consortium couvrent un périmètre géographique large</w:t>
      </w:r>
      <w:r w:rsidR="007F74C8">
        <w:t xml:space="preserve"> </w:t>
      </w:r>
      <w:r w:rsidR="00E20612">
        <w:t>apportant une masse critique ainsi qu’une diversité de champs d’investigation et d’inventions.</w:t>
      </w:r>
      <w:r w:rsidR="00E20612">
        <w:rPr>
          <w:b/>
          <w:bCs/>
          <w:color w:val="333333"/>
          <w:shd w:val="clear" w:color="auto" w:fill="FFFFFF"/>
        </w:rPr>
        <w:t xml:space="preserve"> </w:t>
      </w:r>
      <w:r>
        <w:t xml:space="preserve">La complémentarité </w:t>
      </w:r>
      <w:r w:rsidR="00E20612">
        <w:t>d</w:t>
      </w:r>
      <w:r>
        <w:t xml:space="preserve">es partenaires et </w:t>
      </w:r>
      <w:r w:rsidR="00E20612">
        <w:t xml:space="preserve">leurs </w:t>
      </w:r>
      <w:r>
        <w:t xml:space="preserve">échelles d’action respectives sont des atouts majeurs pour la réussite du programme. Les chefs de file </w:t>
      </w:r>
      <w:r w:rsidR="00E20612">
        <w:t>P</w:t>
      </w:r>
      <w:r>
        <w:t xml:space="preserve">ré-maturation et </w:t>
      </w:r>
      <w:r w:rsidR="00E20612">
        <w:t>M</w:t>
      </w:r>
      <w:r>
        <w:t xml:space="preserve">aturation du programme ExTASE sont respectivement l’Université Grenoble Alpes et la SATT Linksium. </w:t>
      </w:r>
    </w:p>
    <w:p w14:paraId="66B95BA3" w14:textId="6D41F2AA" w:rsidR="000B002E" w:rsidRDefault="000B002E" w:rsidP="000B002E">
      <w:pPr>
        <w:shd w:val="clear" w:color="auto" w:fill="FAFAFA"/>
        <w:spacing w:after="0" w:line="240" w:lineRule="auto"/>
        <w:jc w:val="both"/>
        <w:rPr>
          <w:rFonts w:eastAsia="Times New Roman" w:cstheme="minorHAnsi"/>
          <w:color w:val="000000"/>
          <w:lang w:eastAsia="fr-FR"/>
        </w:rPr>
      </w:pPr>
      <w:r w:rsidRPr="000B002E">
        <w:rPr>
          <w:rFonts w:eastAsia="Times New Roman" w:cstheme="minorHAnsi"/>
          <w:color w:val="000000"/>
          <w:lang w:eastAsia="fr-FR"/>
        </w:rPr>
        <w:t>Les points forts du consortium sont :</w:t>
      </w:r>
    </w:p>
    <w:p w14:paraId="16076529" w14:textId="77777777" w:rsidR="002A4CF5" w:rsidRPr="000B002E" w:rsidRDefault="002A4CF5" w:rsidP="000B002E">
      <w:pPr>
        <w:shd w:val="clear" w:color="auto" w:fill="FAFAFA"/>
        <w:spacing w:after="0" w:line="240" w:lineRule="auto"/>
        <w:jc w:val="both"/>
        <w:rPr>
          <w:rFonts w:eastAsia="Times New Roman" w:cstheme="minorHAnsi"/>
          <w:color w:val="000000"/>
          <w:lang w:eastAsia="fr-FR"/>
        </w:rPr>
      </w:pPr>
    </w:p>
    <w:p w14:paraId="6FFD6F74" w14:textId="0419AFD9" w:rsidR="000B002E" w:rsidRPr="002A4CF5" w:rsidRDefault="00E367D4" w:rsidP="000B002E">
      <w:pPr>
        <w:shd w:val="clear" w:color="auto" w:fill="FAFAFA"/>
        <w:spacing w:after="120" w:line="240" w:lineRule="auto"/>
        <w:ind w:left="454"/>
        <w:jc w:val="both"/>
        <w:rPr>
          <w:rFonts w:eastAsia="Times New Roman" w:cstheme="minorHAnsi"/>
          <w:color w:val="000000"/>
          <w:lang w:eastAsia="fr-FR"/>
        </w:rPr>
      </w:pPr>
      <w:r w:rsidRPr="002A4CF5">
        <w:rPr>
          <w:rFonts w:eastAsia="Times New Roman" w:cstheme="minorHAnsi"/>
          <w:color w:val="000000"/>
          <w:lang w:eastAsia="fr-FR"/>
        </w:rPr>
        <w:t>·     Une</w:t>
      </w:r>
      <w:r w:rsidR="000B002E" w:rsidRPr="002A4CF5">
        <w:rPr>
          <w:rFonts w:eastAsia="Times New Roman" w:cstheme="minorHAnsi"/>
          <w:color w:val="000000"/>
          <w:lang w:eastAsia="fr-FR"/>
        </w:rPr>
        <w:t xml:space="preserve"> recherche de haut niveau générant des résultats de rupture à fort potentiel d’innovation</w:t>
      </w:r>
      <w:r w:rsidR="007455D4" w:rsidRPr="002A4CF5">
        <w:rPr>
          <w:rFonts w:eastAsia="Times New Roman" w:cstheme="minorHAnsi"/>
          <w:color w:val="000000"/>
          <w:lang w:eastAsia="fr-FR"/>
        </w:rPr>
        <w:t>,</w:t>
      </w:r>
    </w:p>
    <w:p w14:paraId="68A99CEA" w14:textId="5EE2CB69" w:rsidR="000B002E" w:rsidRPr="002A4CF5" w:rsidRDefault="000B002E" w:rsidP="000B002E">
      <w:pPr>
        <w:shd w:val="clear" w:color="auto" w:fill="FAFAFA"/>
        <w:spacing w:after="120" w:line="240" w:lineRule="auto"/>
        <w:ind w:left="454"/>
        <w:jc w:val="both"/>
        <w:rPr>
          <w:rFonts w:eastAsia="Times New Roman" w:cstheme="minorHAnsi"/>
          <w:color w:val="000000"/>
          <w:lang w:eastAsia="fr-FR"/>
        </w:rPr>
      </w:pPr>
      <w:r w:rsidRPr="002A4CF5">
        <w:rPr>
          <w:rFonts w:eastAsia="Times New Roman" w:cstheme="minorHAnsi"/>
          <w:color w:val="000000"/>
          <w:lang w:eastAsia="fr-FR"/>
        </w:rPr>
        <w:t>·     </w:t>
      </w:r>
      <w:r w:rsidR="00C22C18" w:rsidRPr="002A4CF5">
        <w:rPr>
          <w:rFonts w:eastAsia="Times New Roman" w:cstheme="minorHAnsi"/>
          <w:color w:val="000000"/>
          <w:lang w:eastAsia="fr-FR"/>
        </w:rPr>
        <w:t>Des complémentarités et</w:t>
      </w:r>
      <w:r w:rsidR="00315AB4" w:rsidRPr="002A4CF5">
        <w:rPr>
          <w:rFonts w:eastAsia="Times New Roman" w:cstheme="minorHAnsi"/>
          <w:color w:val="000000"/>
          <w:lang w:eastAsia="fr-FR"/>
        </w:rPr>
        <w:t xml:space="preserve"> </w:t>
      </w:r>
      <w:r w:rsidR="00DF085F" w:rsidRPr="002A4CF5">
        <w:rPr>
          <w:rFonts w:eastAsia="Times New Roman" w:cstheme="minorHAnsi"/>
          <w:color w:val="000000"/>
          <w:lang w:eastAsia="fr-FR"/>
        </w:rPr>
        <w:t>des synergies propices</w:t>
      </w:r>
      <w:r w:rsidRPr="002A4CF5">
        <w:rPr>
          <w:rFonts w:eastAsia="Times New Roman" w:cstheme="minorHAnsi"/>
          <w:color w:val="000000"/>
          <w:lang w:eastAsia="fr-FR"/>
        </w:rPr>
        <w:t xml:space="preserve"> à la consolidation d’inventions,</w:t>
      </w:r>
    </w:p>
    <w:p w14:paraId="64F5EE7B" w14:textId="77777777" w:rsidR="000B002E" w:rsidRPr="002A4CF5" w:rsidRDefault="000B002E" w:rsidP="000B002E">
      <w:pPr>
        <w:shd w:val="clear" w:color="auto" w:fill="FAFAFA"/>
        <w:spacing w:after="120" w:line="240" w:lineRule="auto"/>
        <w:ind w:left="454"/>
        <w:jc w:val="both"/>
        <w:rPr>
          <w:rFonts w:eastAsia="Times New Roman" w:cstheme="minorHAnsi"/>
          <w:color w:val="000000"/>
          <w:lang w:eastAsia="fr-FR"/>
        </w:rPr>
      </w:pPr>
      <w:r w:rsidRPr="002A4CF5">
        <w:rPr>
          <w:rFonts w:eastAsia="Times New Roman" w:cstheme="minorHAnsi"/>
          <w:color w:val="000000"/>
          <w:lang w:eastAsia="fr-FR"/>
        </w:rPr>
        <w:t>·     L’intégration de l’appropriation sociétale et d’une approche environnementale dans la démarche d’innovation,</w:t>
      </w:r>
    </w:p>
    <w:p w14:paraId="49CACE1C" w14:textId="716012E6" w:rsidR="000B002E" w:rsidRPr="002A4CF5" w:rsidRDefault="000B002E" w:rsidP="000B002E">
      <w:pPr>
        <w:shd w:val="clear" w:color="auto" w:fill="FAFAFA"/>
        <w:spacing w:after="120" w:line="240" w:lineRule="auto"/>
        <w:ind w:left="454"/>
        <w:jc w:val="both"/>
        <w:rPr>
          <w:rFonts w:eastAsia="Times New Roman" w:cstheme="minorHAnsi"/>
          <w:color w:val="000000"/>
          <w:lang w:eastAsia="fr-FR"/>
        </w:rPr>
      </w:pPr>
      <w:r w:rsidRPr="002A4CF5">
        <w:rPr>
          <w:rFonts w:eastAsia="Times New Roman" w:cstheme="minorHAnsi"/>
          <w:color w:val="000000"/>
          <w:lang w:eastAsia="fr-FR"/>
        </w:rPr>
        <w:lastRenderedPageBreak/>
        <w:t xml:space="preserve">·     La maîtrise de la pluralité des schémas de valorisation par transfert </w:t>
      </w:r>
      <w:r w:rsidR="00315AB4" w:rsidRPr="002A4CF5">
        <w:rPr>
          <w:rFonts w:eastAsia="Times New Roman" w:cstheme="minorHAnsi"/>
          <w:color w:val="000000"/>
          <w:lang w:eastAsia="fr-FR"/>
        </w:rPr>
        <w:t xml:space="preserve">industriel </w:t>
      </w:r>
      <w:r w:rsidRPr="002A4CF5">
        <w:rPr>
          <w:rFonts w:eastAsia="Times New Roman" w:cstheme="minorHAnsi"/>
          <w:color w:val="000000"/>
          <w:lang w:eastAsia="fr-FR"/>
        </w:rPr>
        <w:t>et/ou création de start-up, appuyée sur des écosystèmes d’innovation parfaitement décryptés, une tradition partenariale et de solides réseaux d’entreprises partenaires,</w:t>
      </w:r>
    </w:p>
    <w:p w14:paraId="0451D175" w14:textId="281C5F3B" w:rsidR="000B002E" w:rsidRPr="002A4CF5" w:rsidRDefault="000B002E" w:rsidP="000B002E">
      <w:pPr>
        <w:shd w:val="clear" w:color="auto" w:fill="FAFAFA"/>
        <w:spacing w:after="120" w:line="240" w:lineRule="auto"/>
        <w:ind w:left="454"/>
        <w:jc w:val="both"/>
        <w:rPr>
          <w:rFonts w:eastAsia="Times New Roman" w:cstheme="minorHAnsi"/>
          <w:color w:val="000000"/>
          <w:lang w:eastAsia="fr-FR"/>
        </w:rPr>
      </w:pPr>
      <w:r w:rsidRPr="002A4CF5">
        <w:rPr>
          <w:rFonts w:eastAsia="Times New Roman" w:cstheme="minorHAnsi"/>
          <w:color w:val="000000"/>
          <w:lang w:eastAsia="fr-FR"/>
        </w:rPr>
        <w:t xml:space="preserve">·     Des plateformes d’expérimentation pour la montée en </w:t>
      </w:r>
      <w:r w:rsidR="00E20612" w:rsidRPr="002A4CF5">
        <w:rPr>
          <w:rFonts w:eastAsia="Times New Roman" w:cstheme="minorHAnsi"/>
          <w:color w:val="000000"/>
          <w:lang w:eastAsia="fr-FR"/>
        </w:rPr>
        <w:t xml:space="preserve">maturité technologique </w:t>
      </w:r>
      <w:r w:rsidR="00315AB4" w:rsidRPr="002A4CF5">
        <w:rPr>
          <w:rFonts w:eastAsia="Times New Roman" w:cstheme="minorHAnsi"/>
          <w:color w:val="000000"/>
          <w:lang w:eastAsia="fr-FR"/>
        </w:rPr>
        <w:t>et le passage à l’échelle</w:t>
      </w:r>
      <w:r w:rsidR="00E20612" w:rsidRPr="002A4CF5">
        <w:rPr>
          <w:rFonts w:eastAsia="Times New Roman" w:cstheme="minorHAnsi"/>
          <w:color w:val="000000"/>
          <w:lang w:eastAsia="fr-FR"/>
        </w:rPr>
        <w:t>,</w:t>
      </w:r>
    </w:p>
    <w:p w14:paraId="2A6ECE65" w14:textId="4443F0A6" w:rsidR="000B002E" w:rsidRPr="000B002E" w:rsidRDefault="000B002E" w:rsidP="000B002E">
      <w:pPr>
        <w:shd w:val="clear" w:color="auto" w:fill="FAFAFA"/>
        <w:spacing w:after="120" w:line="240" w:lineRule="auto"/>
        <w:ind w:left="454"/>
        <w:jc w:val="both"/>
        <w:rPr>
          <w:rFonts w:eastAsia="Times New Roman" w:cstheme="minorHAnsi"/>
          <w:color w:val="000000"/>
          <w:lang w:eastAsia="fr-FR"/>
        </w:rPr>
      </w:pPr>
      <w:r w:rsidRPr="002A4CF5">
        <w:rPr>
          <w:rFonts w:eastAsia="Times New Roman" w:cstheme="minorHAnsi"/>
          <w:color w:val="000000"/>
          <w:lang w:eastAsia="fr-FR"/>
        </w:rPr>
        <w:t xml:space="preserve">·     Une formation </w:t>
      </w:r>
      <w:r w:rsidR="00D86E9E" w:rsidRPr="002A4CF5">
        <w:rPr>
          <w:rFonts w:eastAsia="Times New Roman" w:cstheme="minorHAnsi"/>
          <w:color w:val="000000"/>
          <w:lang w:eastAsia="fr-FR"/>
        </w:rPr>
        <w:t>en</w:t>
      </w:r>
      <w:r w:rsidR="0039682C" w:rsidRPr="002A4CF5">
        <w:rPr>
          <w:rFonts w:eastAsia="Times New Roman" w:cstheme="minorHAnsi"/>
          <w:color w:val="000000"/>
          <w:lang w:eastAsia="fr-FR"/>
        </w:rPr>
        <w:t xml:space="preserve"> systèmes énergétiques pour </w:t>
      </w:r>
      <w:r w:rsidR="00D86E9E" w:rsidRPr="002A4CF5">
        <w:rPr>
          <w:rFonts w:eastAsia="Times New Roman" w:cstheme="minorHAnsi"/>
          <w:color w:val="000000"/>
          <w:lang w:eastAsia="fr-FR"/>
        </w:rPr>
        <w:t>diplômer</w:t>
      </w:r>
      <w:r w:rsidR="0039682C" w:rsidRPr="002A4CF5">
        <w:rPr>
          <w:rFonts w:eastAsia="Times New Roman" w:cstheme="minorHAnsi"/>
          <w:color w:val="000000"/>
          <w:lang w:eastAsia="fr-FR"/>
        </w:rPr>
        <w:t xml:space="preserve"> </w:t>
      </w:r>
      <w:r w:rsidR="00D86E9E" w:rsidRPr="002A4CF5">
        <w:rPr>
          <w:rFonts w:eastAsia="Times New Roman" w:cstheme="minorHAnsi"/>
          <w:color w:val="000000"/>
          <w:lang w:eastAsia="fr-FR"/>
        </w:rPr>
        <w:t>d</w:t>
      </w:r>
      <w:r w:rsidR="0039682C" w:rsidRPr="002A4CF5">
        <w:rPr>
          <w:rFonts w:eastAsia="Times New Roman" w:cstheme="minorHAnsi"/>
          <w:color w:val="000000"/>
          <w:lang w:eastAsia="fr-FR"/>
        </w:rPr>
        <w:t xml:space="preserve">es </w:t>
      </w:r>
      <w:r w:rsidRPr="002A4CF5">
        <w:rPr>
          <w:rFonts w:eastAsia="Times New Roman" w:cstheme="minorHAnsi"/>
          <w:color w:val="000000"/>
          <w:lang w:eastAsia="fr-FR"/>
        </w:rPr>
        <w:t xml:space="preserve">talents </w:t>
      </w:r>
      <w:r w:rsidR="00D86E9E" w:rsidRPr="002A4CF5">
        <w:rPr>
          <w:rFonts w:eastAsia="Times New Roman" w:cstheme="minorHAnsi"/>
          <w:color w:val="000000"/>
          <w:lang w:eastAsia="fr-FR"/>
        </w:rPr>
        <w:t xml:space="preserve">mobilisables sur </w:t>
      </w:r>
      <w:r w:rsidRPr="002A4CF5">
        <w:rPr>
          <w:rFonts w:eastAsia="Times New Roman" w:cstheme="minorHAnsi"/>
          <w:color w:val="000000"/>
          <w:lang w:eastAsia="fr-FR"/>
        </w:rPr>
        <w:t>les projets de valorisation</w:t>
      </w:r>
      <w:r w:rsidR="00D86E9E" w:rsidRPr="002A4CF5">
        <w:rPr>
          <w:rFonts w:eastAsia="Times New Roman" w:cstheme="minorHAnsi"/>
          <w:color w:val="000000"/>
          <w:lang w:eastAsia="fr-FR"/>
        </w:rPr>
        <w:t>.</w:t>
      </w:r>
    </w:p>
    <w:p w14:paraId="5EB852D4" w14:textId="7E4D7EC8" w:rsidR="00B656A7" w:rsidRDefault="00FB5E0B" w:rsidP="13C01509">
      <w:pPr>
        <w:shd w:val="clear" w:color="auto" w:fill="FAFAFA"/>
        <w:spacing w:after="0" w:line="240" w:lineRule="auto"/>
        <w:jc w:val="both"/>
        <w:rPr>
          <w:rFonts w:eastAsia="Times New Roman"/>
          <w:color w:val="000000"/>
          <w:lang w:eastAsia="fr-FR"/>
        </w:rPr>
      </w:pPr>
      <w:r>
        <w:t xml:space="preserve">Les partenaires ont collectivement établi une stratégie pour répondre aux enjeux énoncés dans l’appel à projets et, au-delà, constituer une force </w:t>
      </w:r>
      <w:r w:rsidR="00BB56E4">
        <w:t xml:space="preserve">nationale </w:t>
      </w:r>
      <w:r>
        <w:t>pour accélérer le transfert de la recherche publique</w:t>
      </w:r>
      <w:r w:rsidR="004052C7">
        <w:t xml:space="preserve"> et créer de la valeur économique. </w:t>
      </w:r>
      <w:r>
        <w:t xml:space="preserve">La mise en exécution de cette stratégie repose sur une organisation ancrée territorialement, </w:t>
      </w:r>
      <w:r w:rsidR="00AE36A9">
        <w:t>en</w:t>
      </w:r>
      <w:r>
        <w:t xml:space="preserve"> proximité </w:t>
      </w:r>
      <w:r w:rsidR="00AE36A9">
        <w:t>des</w:t>
      </w:r>
      <w:r>
        <w:t xml:space="preserve"> chercheurs</w:t>
      </w:r>
      <w:r w:rsidR="00AE36A9">
        <w:t xml:space="preserve"> et en</w:t>
      </w:r>
      <w:r>
        <w:t xml:space="preserve"> coordination avec les acteurs territoriaux contribuant à amplifier l’impact des projets d’innovation (financements additionnels, infrastructures, collaborations, etc.). Ainsi</w:t>
      </w:r>
      <w:r w:rsidR="00FA59F5">
        <w:t>,</w:t>
      </w:r>
      <w:r>
        <w:t xml:space="preserve"> le consortium </w:t>
      </w:r>
      <w:r w:rsidR="003F0A9B">
        <w:t xml:space="preserve">met en synergie </w:t>
      </w:r>
      <w:r>
        <w:t>des sites disposant chacun d’un cadre d’autonomie de décision et d’action au sein d’une programmatique commune établie et pilotée en association avec le coordinateur de la SNA</w:t>
      </w:r>
      <w:r w:rsidR="00FA59F5">
        <w:t xml:space="preserve"> TASE</w:t>
      </w:r>
      <w:r>
        <w:t xml:space="preserve"> </w:t>
      </w:r>
      <w:r w:rsidR="00AE36A9">
        <w:t>pour,</w:t>
      </w:r>
      <w:r>
        <w:t xml:space="preserve"> dans la durée, </w:t>
      </w:r>
      <w:r w:rsidR="00AE36A9">
        <w:t xml:space="preserve">assurer le </w:t>
      </w:r>
      <w:r>
        <w:t xml:space="preserve">meilleur effet levier </w:t>
      </w:r>
      <w:r w:rsidR="00AE36A9">
        <w:t xml:space="preserve">aux </w:t>
      </w:r>
      <w:r>
        <w:t>financements nationaux.</w:t>
      </w:r>
      <w:r w:rsidR="000B002E" w:rsidRPr="13C01509">
        <w:rPr>
          <w:rFonts w:eastAsia="Times New Roman"/>
          <w:color w:val="000000" w:themeColor="text1"/>
          <w:lang w:eastAsia="fr-FR"/>
        </w:rPr>
        <w:t> </w:t>
      </w:r>
    </w:p>
    <w:p w14:paraId="13D05EE2" w14:textId="3BD4B82D" w:rsidR="0043068E" w:rsidRDefault="0043068E" w:rsidP="000B002E">
      <w:pPr>
        <w:shd w:val="clear" w:color="auto" w:fill="FAFAFA"/>
        <w:spacing w:after="0" w:line="240" w:lineRule="auto"/>
        <w:jc w:val="both"/>
        <w:rPr>
          <w:rFonts w:eastAsia="Times New Roman" w:cstheme="minorHAnsi"/>
          <w:color w:val="000000"/>
          <w:lang w:eastAsia="fr-FR"/>
        </w:rPr>
      </w:pPr>
    </w:p>
    <w:p w14:paraId="2110DFA4" w14:textId="303F0D7E" w:rsidR="00261292" w:rsidRPr="00261292" w:rsidRDefault="0043068E" w:rsidP="000B002E">
      <w:pPr>
        <w:shd w:val="clear" w:color="auto" w:fill="FAFAFA"/>
        <w:spacing w:after="0" w:line="240" w:lineRule="auto"/>
        <w:jc w:val="both"/>
        <w:rPr>
          <w:rFonts w:cstheme="minorHAnsi"/>
          <w:color w:val="333333"/>
          <w:shd w:val="clear" w:color="auto" w:fill="FFFFFF"/>
        </w:rPr>
      </w:pPr>
      <w:r w:rsidRPr="0043068E">
        <w:rPr>
          <w:rFonts w:eastAsia="Times New Roman" w:cstheme="minorHAnsi"/>
          <w:b/>
          <w:color w:val="000000"/>
          <w:lang w:eastAsia="fr-FR"/>
        </w:rPr>
        <w:t>Les 18 partenaires du consortium :</w:t>
      </w:r>
      <w:r w:rsidRPr="0043068E">
        <w:rPr>
          <w:rFonts w:eastAsia="Times New Roman" w:cstheme="minorHAnsi"/>
          <w:color w:val="000000"/>
          <w:lang w:eastAsia="fr-FR"/>
        </w:rPr>
        <w:t xml:space="preserve"> </w:t>
      </w:r>
      <w:r w:rsidRPr="0043068E">
        <w:rPr>
          <w:rFonts w:cstheme="minorHAnsi"/>
          <w:color w:val="333333"/>
          <w:shd w:val="clear" w:color="auto" w:fill="FFFFFF"/>
        </w:rPr>
        <w:t>CEA</w:t>
      </w:r>
      <w:r w:rsidR="00335D7D">
        <w:rPr>
          <w:rFonts w:cstheme="minorHAnsi"/>
          <w:color w:val="333333"/>
          <w:shd w:val="clear" w:color="auto" w:fill="FFFFFF"/>
        </w:rPr>
        <w:t> ;</w:t>
      </w:r>
      <w:r w:rsidR="00335D7D" w:rsidRPr="0043068E">
        <w:rPr>
          <w:rFonts w:cstheme="minorHAnsi"/>
          <w:color w:val="333333"/>
          <w:shd w:val="clear" w:color="auto" w:fill="FFFFFF"/>
        </w:rPr>
        <w:t xml:space="preserve"> </w:t>
      </w:r>
      <w:r w:rsidRPr="0043068E">
        <w:rPr>
          <w:rFonts w:cstheme="minorHAnsi"/>
          <w:color w:val="333333"/>
          <w:shd w:val="clear" w:color="auto" w:fill="FFFFFF"/>
        </w:rPr>
        <w:t xml:space="preserve">Institut Polytechnique </w:t>
      </w:r>
      <w:r w:rsidR="00430D04">
        <w:rPr>
          <w:rFonts w:cstheme="minorHAnsi"/>
          <w:color w:val="333333"/>
          <w:shd w:val="clear" w:color="auto" w:fill="FFFFFF"/>
        </w:rPr>
        <w:t>d</w:t>
      </w:r>
      <w:r w:rsidRPr="0043068E">
        <w:rPr>
          <w:rFonts w:cstheme="minorHAnsi"/>
          <w:color w:val="333333"/>
          <w:shd w:val="clear" w:color="auto" w:fill="FFFFFF"/>
        </w:rPr>
        <w:t>e Paris</w:t>
      </w:r>
      <w:r w:rsidR="00335D7D">
        <w:rPr>
          <w:rFonts w:cstheme="minorHAnsi"/>
          <w:color w:val="333333"/>
          <w:shd w:val="clear" w:color="auto" w:fill="FFFFFF"/>
        </w:rPr>
        <w:t>,</w:t>
      </w:r>
      <w:r w:rsidRPr="0043068E">
        <w:rPr>
          <w:rFonts w:cstheme="minorHAnsi"/>
          <w:color w:val="333333"/>
          <w:shd w:val="clear" w:color="auto" w:fill="FFFFFF"/>
        </w:rPr>
        <w:t xml:space="preserve"> </w:t>
      </w:r>
      <w:r w:rsidR="00AE36A9" w:rsidRPr="0043068E">
        <w:rPr>
          <w:rFonts w:cstheme="minorHAnsi"/>
          <w:color w:val="333333"/>
          <w:shd w:val="clear" w:color="auto" w:fill="FFFFFF"/>
        </w:rPr>
        <w:t>Université Paris Saclay</w:t>
      </w:r>
      <w:r w:rsidR="00335D7D">
        <w:rPr>
          <w:rFonts w:cstheme="minorHAnsi"/>
          <w:color w:val="333333"/>
          <w:shd w:val="clear" w:color="auto" w:fill="FFFFFF"/>
        </w:rPr>
        <w:t xml:space="preserve"> et</w:t>
      </w:r>
      <w:r w:rsidR="00AE36A9">
        <w:rPr>
          <w:rFonts w:cstheme="minorHAnsi"/>
          <w:color w:val="333333"/>
          <w:shd w:val="clear" w:color="auto" w:fill="FFFFFF"/>
        </w:rPr>
        <w:t xml:space="preserve"> SATT</w:t>
      </w:r>
      <w:r w:rsidR="00AE36A9" w:rsidRPr="0043068E">
        <w:rPr>
          <w:rFonts w:cstheme="minorHAnsi"/>
          <w:color w:val="333333"/>
          <w:shd w:val="clear" w:color="auto" w:fill="FFFFFF"/>
        </w:rPr>
        <w:t xml:space="preserve"> Paris Saclay</w:t>
      </w:r>
      <w:r w:rsidR="00335D7D">
        <w:rPr>
          <w:rFonts w:cstheme="minorHAnsi"/>
          <w:color w:val="333333"/>
          <w:shd w:val="clear" w:color="auto" w:fill="FFFFFF"/>
        </w:rPr>
        <w:t> ;</w:t>
      </w:r>
      <w:r w:rsidR="00AE36A9">
        <w:rPr>
          <w:rFonts w:cstheme="minorHAnsi"/>
          <w:color w:val="333333"/>
          <w:shd w:val="clear" w:color="auto" w:fill="FFFFFF"/>
        </w:rPr>
        <w:t xml:space="preserve"> </w:t>
      </w:r>
      <w:r w:rsidRPr="0043068E">
        <w:rPr>
          <w:rFonts w:cstheme="minorHAnsi"/>
          <w:color w:val="333333"/>
          <w:shd w:val="clear" w:color="auto" w:fill="FFFFFF"/>
        </w:rPr>
        <w:t>P</w:t>
      </w:r>
      <w:r w:rsidR="00CD689C">
        <w:rPr>
          <w:rFonts w:cstheme="minorHAnsi"/>
          <w:color w:val="333333"/>
          <w:shd w:val="clear" w:color="auto" w:fill="FFFFFF"/>
        </w:rPr>
        <w:t xml:space="preserve">aris Sciences </w:t>
      </w:r>
      <w:r w:rsidR="009A728C">
        <w:rPr>
          <w:rFonts w:cstheme="minorHAnsi"/>
          <w:color w:val="333333"/>
          <w:shd w:val="clear" w:color="auto" w:fill="FFFFFF"/>
        </w:rPr>
        <w:t xml:space="preserve">&amp; </w:t>
      </w:r>
      <w:r w:rsidR="00CD689C">
        <w:rPr>
          <w:rFonts w:cstheme="minorHAnsi"/>
          <w:color w:val="333333"/>
          <w:shd w:val="clear" w:color="auto" w:fill="FFFFFF"/>
        </w:rPr>
        <w:t>Lettres</w:t>
      </w:r>
      <w:r w:rsidR="00335D7D">
        <w:rPr>
          <w:rFonts w:cstheme="minorHAnsi"/>
          <w:color w:val="333333"/>
          <w:shd w:val="clear" w:color="auto" w:fill="FFFFFF"/>
        </w:rPr>
        <w:t> ;</w:t>
      </w:r>
      <w:r w:rsidRPr="0043068E">
        <w:rPr>
          <w:rFonts w:cstheme="minorHAnsi"/>
          <w:color w:val="333333"/>
          <w:shd w:val="clear" w:color="auto" w:fill="FFFFFF"/>
        </w:rPr>
        <w:t xml:space="preserve"> </w:t>
      </w:r>
      <w:r w:rsidR="00AE36A9" w:rsidRPr="0043068E">
        <w:rPr>
          <w:rFonts w:cstheme="minorHAnsi"/>
          <w:color w:val="333333"/>
          <w:shd w:val="clear" w:color="auto" w:fill="FFFFFF"/>
        </w:rPr>
        <w:t>Université de Bordeaux</w:t>
      </w:r>
      <w:r w:rsidR="00335D7D">
        <w:rPr>
          <w:rFonts w:cstheme="minorHAnsi"/>
          <w:color w:val="333333"/>
          <w:shd w:val="clear" w:color="auto" w:fill="FFFFFF"/>
        </w:rPr>
        <w:t xml:space="preserve">, Université de Pau et des Pays d’Adour et </w:t>
      </w:r>
      <w:r w:rsidR="00AE36A9">
        <w:rPr>
          <w:rFonts w:cstheme="minorHAnsi"/>
          <w:color w:val="333333"/>
          <w:shd w:val="clear" w:color="auto" w:fill="FFFFFF"/>
        </w:rPr>
        <w:t>SATT</w:t>
      </w:r>
      <w:r w:rsidR="00AE36A9" w:rsidRPr="0043068E">
        <w:rPr>
          <w:rFonts w:cstheme="minorHAnsi"/>
          <w:color w:val="333333"/>
          <w:shd w:val="clear" w:color="auto" w:fill="FFFFFF"/>
        </w:rPr>
        <w:t xml:space="preserve"> </w:t>
      </w:r>
      <w:r w:rsidRPr="0043068E">
        <w:rPr>
          <w:rFonts w:cstheme="minorHAnsi"/>
          <w:color w:val="333333"/>
          <w:shd w:val="clear" w:color="auto" w:fill="FFFFFF"/>
        </w:rPr>
        <w:t>Aquitaine</w:t>
      </w:r>
      <w:r w:rsidR="003F0A9B">
        <w:rPr>
          <w:rFonts w:cstheme="minorHAnsi"/>
          <w:color w:val="333333"/>
          <w:shd w:val="clear" w:color="auto" w:fill="FFFFFF"/>
        </w:rPr>
        <w:t xml:space="preserve"> Science Transfert</w:t>
      </w:r>
      <w:r w:rsidR="00335D7D">
        <w:rPr>
          <w:rFonts w:cstheme="minorHAnsi"/>
          <w:color w:val="333333"/>
          <w:shd w:val="clear" w:color="auto" w:fill="FFFFFF"/>
        </w:rPr>
        <w:t> ;</w:t>
      </w:r>
      <w:r w:rsidRPr="0043068E">
        <w:rPr>
          <w:rFonts w:cstheme="minorHAnsi"/>
          <w:color w:val="333333"/>
          <w:shd w:val="clear" w:color="auto" w:fill="FFFFFF"/>
        </w:rPr>
        <w:t xml:space="preserve"> </w:t>
      </w:r>
      <w:r w:rsidR="00335D7D">
        <w:rPr>
          <w:rFonts w:cstheme="minorHAnsi"/>
          <w:color w:val="333333"/>
          <w:shd w:val="clear" w:color="auto" w:fill="FFFFFF"/>
        </w:rPr>
        <w:t>SATT</w:t>
      </w:r>
      <w:r w:rsidR="00335D7D" w:rsidRPr="0043068E">
        <w:rPr>
          <w:rFonts w:cstheme="minorHAnsi"/>
          <w:color w:val="333333"/>
          <w:shd w:val="clear" w:color="auto" w:fill="FFFFFF"/>
        </w:rPr>
        <w:t xml:space="preserve"> </w:t>
      </w:r>
      <w:r w:rsidRPr="0043068E">
        <w:rPr>
          <w:rFonts w:cstheme="minorHAnsi"/>
          <w:color w:val="333333"/>
          <w:shd w:val="clear" w:color="auto" w:fill="FFFFFF"/>
        </w:rPr>
        <w:t>Conectus Alsace</w:t>
      </w:r>
      <w:r w:rsidR="00335D7D">
        <w:rPr>
          <w:rFonts w:cstheme="minorHAnsi"/>
          <w:color w:val="333333"/>
          <w:shd w:val="clear" w:color="auto" w:fill="FFFFFF"/>
        </w:rPr>
        <w:t xml:space="preserve"> ; </w:t>
      </w:r>
      <w:r w:rsidR="00335D7D" w:rsidRPr="0043068E">
        <w:rPr>
          <w:rFonts w:cstheme="minorHAnsi"/>
          <w:color w:val="333333"/>
          <w:shd w:val="clear" w:color="auto" w:fill="FFFFFF"/>
        </w:rPr>
        <w:t>Université Paris</w:t>
      </w:r>
      <w:r w:rsidR="00335D7D">
        <w:rPr>
          <w:rFonts w:cstheme="minorHAnsi"/>
          <w:color w:val="333333"/>
          <w:shd w:val="clear" w:color="auto" w:fill="FFFFFF"/>
        </w:rPr>
        <w:t xml:space="preserve"> Cité et SATT </w:t>
      </w:r>
      <w:r w:rsidRPr="0043068E">
        <w:rPr>
          <w:rFonts w:cstheme="minorHAnsi"/>
          <w:color w:val="333333"/>
          <w:shd w:val="clear" w:color="auto" w:fill="FFFFFF"/>
        </w:rPr>
        <w:t>Erganeo</w:t>
      </w:r>
      <w:r w:rsidR="00BB56E4">
        <w:rPr>
          <w:rFonts w:cstheme="minorHAnsi"/>
          <w:color w:val="333333"/>
          <w:shd w:val="clear" w:color="auto" w:fill="FFFFFF"/>
        </w:rPr>
        <w:t> ;</w:t>
      </w:r>
      <w:r w:rsidRPr="0043068E">
        <w:rPr>
          <w:rFonts w:cstheme="minorHAnsi"/>
          <w:color w:val="333333"/>
          <w:shd w:val="clear" w:color="auto" w:fill="FFFFFF"/>
        </w:rPr>
        <w:t xml:space="preserve"> </w:t>
      </w:r>
      <w:r w:rsidR="00335D7D" w:rsidRPr="0043068E">
        <w:rPr>
          <w:rFonts w:cstheme="minorHAnsi"/>
          <w:color w:val="333333"/>
          <w:shd w:val="clear" w:color="auto" w:fill="FFFFFF"/>
        </w:rPr>
        <w:t>Sorbonne Université</w:t>
      </w:r>
      <w:r w:rsidR="00335D7D">
        <w:rPr>
          <w:rFonts w:cstheme="minorHAnsi"/>
          <w:color w:val="333333"/>
          <w:shd w:val="clear" w:color="auto" w:fill="FFFFFF"/>
        </w:rPr>
        <w:t xml:space="preserve"> et SATT </w:t>
      </w:r>
      <w:r w:rsidRPr="0043068E">
        <w:rPr>
          <w:rFonts w:cstheme="minorHAnsi"/>
          <w:color w:val="333333"/>
          <w:shd w:val="clear" w:color="auto" w:fill="FFFFFF"/>
        </w:rPr>
        <w:t>Lutech</w:t>
      </w:r>
      <w:r w:rsidR="00335D7D">
        <w:rPr>
          <w:rFonts w:cstheme="minorHAnsi"/>
          <w:color w:val="333333"/>
          <w:shd w:val="clear" w:color="auto" w:fill="FFFFFF"/>
        </w:rPr>
        <w:t> ;</w:t>
      </w:r>
      <w:r w:rsidRPr="0043068E">
        <w:rPr>
          <w:rFonts w:cstheme="minorHAnsi"/>
          <w:color w:val="333333"/>
          <w:shd w:val="clear" w:color="auto" w:fill="FFFFFF"/>
        </w:rPr>
        <w:t xml:space="preserve"> </w:t>
      </w:r>
      <w:r w:rsidR="00335D7D">
        <w:rPr>
          <w:rFonts w:cstheme="minorHAnsi"/>
          <w:color w:val="333333"/>
          <w:shd w:val="clear" w:color="auto" w:fill="FFFFFF"/>
        </w:rPr>
        <w:t>SATT</w:t>
      </w:r>
      <w:r w:rsidRPr="0043068E">
        <w:rPr>
          <w:rFonts w:cstheme="minorHAnsi"/>
          <w:color w:val="333333"/>
          <w:shd w:val="clear" w:color="auto" w:fill="FFFFFF"/>
        </w:rPr>
        <w:t xml:space="preserve"> Pulsalys</w:t>
      </w:r>
      <w:r w:rsidR="00335D7D">
        <w:rPr>
          <w:rFonts w:cstheme="minorHAnsi"/>
          <w:color w:val="333333"/>
          <w:shd w:val="clear" w:color="auto" w:fill="FFFFFF"/>
        </w:rPr>
        <w:t xml:space="preserve"> ; </w:t>
      </w:r>
      <w:r w:rsidR="00335D7D" w:rsidRPr="0043068E">
        <w:rPr>
          <w:rFonts w:cstheme="minorHAnsi"/>
          <w:color w:val="333333"/>
          <w:shd w:val="clear" w:color="auto" w:fill="FFFFFF"/>
        </w:rPr>
        <w:t>Université Côte d’Azur</w:t>
      </w:r>
      <w:r w:rsidR="00335D7D">
        <w:rPr>
          <w:rFonts w:cstheme="minorHAnsi"/>
          <w:color w:val="333333"/>
          <w:shd w:val="clear" w:color="auto" w:fill="FFFFFF"/>
        </w:rPr>
        <w:t xml:space="preserve"> et SATT </w:t>
      </w:r>
      <w:r w:rsidRPr="0043068E">
        <w:rPr>
          <w:rFonts w:cstheme="minorHAnsi"/>
          <w:color w:val="333333"/>
          <w:shd w:val="clear" w:color="auto" w:fill="FFFFFF"/>
        </w:rPr>
        <w:t>Sud Est</w:t>
      </w:r>
      <w:r w:rsidR="00335D7D">
        <w:rPr>
          <w:rFonts w:cstheme="minorHAnsi"/>
          <w:color w:val="333333"/>
          <w:shd w:val="clear" w:color="auto" w:fill="FFFFFF"/>
        </w:rPr>
        <w:t xml:space="preserve"> ; </w:t>
      </w:r>
      <w:r w:rsidRPr="0043068E">
        <w:rPr>
          <w:rFonts w:cstheme="minorHAnsi"/>
          <w:color w:val="333333"/>
          <w:shd w:val="clear" w:color="auto" w:fill="FFFFFF"/>
        </w:rPr>
        <w:t>Université Grenoble Alpes</w:t>
      </w:r>
      <w:r w:rsidR="00335D7D">
        <w:rPr>
          <w:rFonts w:cstheme="minorHAnsi"/>
          <w:color w:val="333333"/>
          <w:shd w:val="clear" w:color="auto" w:fill="FFFFFF"/>
        </w:rPr>
        <w:t xml:space="preserve"> et</w:t>
      </w:r>
      <w:r w:rsidRPr="0043068E">
        <w:rPr>
          <w:rFonts w:cstheme="minorHAnsi"/>
          <w:color w:val="333333"/>
          <w:shd w:val="clear" w:color="auto" w:fill="FFFFFF"/>
        </w:rPr>
        <w:t xml:space="preserve"> </w:t>
      </w:r>
      <w:r w:rsidR="00335D7D">
        <w:rPr>
          <w:rFonts w:cstheme="minorHAnsi"/>
          <w:color w:val="333333"/>
          <w:shd w:val="clear" w:color="auto" w:fill="FFFFFF"/>
        </w:rPr>
        <w:t>SATT</w:t>
      </w:r>
      <w:r w:rsidR="00335D7D" w:rsidRPr="0043068E">
        <w:rPr>
          <w:rFonts w:cstheme="minorHAnsi"/>
          <w:color w:val="333333"/>
          <w:shd w:val="clear" w:color="auto" w:fill="FFFFFF"/>
        </w:rPr>
        <w:t xml:space="preserve"> Linksium</w:t>
      </w:r>
      <w:r w:rsidR="00335D7D">
        <w:rPr>
          <w:rFonts w:cstheme="minorHAnsi"/>
          <w:color w:val="333333"/>
          <w:shd w:val="clear" w:color="auto" w:fill="FFFFFF"/>
        </w:rPr>
        <w:t>.</w:t>
      </w:r>
    </w:p>
    <w:p w14:paraId="39035530" w14:textId="53A5EB93" w:rsidR="00F56BB5" w:rsidRDefault="00F56BB5" w:rsidP="00015359">
      <w:pPr>
        <w:pBdr>
          <w:bottom w:val="single" w:sz="4" w:space="1" w:color="auto"/>
        </w:pBdr>
      </w:pPr>
    </w:p>
    <w:p w14:paraId="2F2AEB54" w14:textId="77777777" w:rsidR="007135C9" w:rsidRPr="00015359" w:rsidRDefault="007135C9" w:rsidP="00015359">
      <w:pPr>
        <w:spacing w:after="0" w:line="240" w:lineRule="auto"/>
        <w:rPr>
          <w:b/>
          <w:sz w:val="28"/>
          <w:szCs w:val="28"/>
        </w:rPr>
      </w:pPr>
      <w:r w:rsidRPr="00015359">
        <w:rPr>
          <w:b/>
          <w:sz w:val="28"/>
          <w:szCs w:val="28"/>
        </w:rPr>
        <w:t>À PROPOS</w:t>
      </w:r>
    </w:p>
    <w:p w14:paraId="1C92D25B" w14:textId="77777777" w:rsidR="007135C9" w:rsidRDefault="007135C9" w:rsidP="00015359">
      <w:pPr>
        <w:spacing w:after="0" w:line="240" w:lineRule="auto"/>
      </w:pPr>
    </w:p>
    <w:p w14:paraId="479CA28F" w14:textId="77777777" w:rsidR="007135C9" w:rsidRPr="00015359" w:rsidRDefault="007135C9" w:rsidP="00015359">
      <w:pPr>
        <w:spacing w:after="0" w:line="240" w:lineRule="auto"/>
        <w:rPr>
          <w:b/>
          <w:color w:val="002060"/>
          <w:sz w:val="24"/>
          <w:szCs w:val="24"/>
        </w:rPr>
      </w:pPr>
      <w:r w:rsidRPr="00015359">
        <w:rPr>
          <w:b/>
          <w:color w:val="002060"/>
          <w:sz w:val="24"/>
          <w:szCs w:val="24"/>
        </w:rPr>
        <w:t>L’Université Grenoble Alpes - UGA</w:t>
      </w:r>
    </w:p>
    <w:p w14:paraId="2F9EDBC0" w14:textId="5DA4297E" w:rsidR="007135C9" w:rsidRPr="00015359" w:rsidRDefault="007135C9" w:rsidP="00015359">
      <w:pPr>
        <w:spacing w:after="0" w:line="240" w:lineRule="auto"/>
        <w:jc w:val="both"/>
      </w:pPr>
      <w:r w:rsidRPr="00015359">
        <w:t>Dans le top 150 des meilleures universités mondiales du classement de Shanghai, ancrée sur son territoire, pluridisciplinaire et ouverte à l'international, l’UGA fait partie des 8 universités françaises labellisées initiatives d’excellence (IDEX). Depuis 2020, l'UGA intègre 3 établissements-composantes Grenoble INP, Institut d'ingénierie et de management-UGA, Science Po Grenoble-UGA, Ecole nationale supérieure d'architecture de Grenoble ENSAG-UGA et 3 composantes académiques Faculté des sciences-UGA, Ecole universitaire de technologie-UGA, Faculté Humanités, santé, sport, sociétés-UGA.</w:t>
      </w:r>
    </w:p>
    <w:p w14:paraId="2596CD1E" w14:textId="77777777" w:rsidR="00015359" w:rsidRDefault="00015359" w:rsidP="00015359">
      <w:pPr>
        <w:spacing w:after="0" w:line="240" w:lineRule="auto"/>
        <w:jc w:val="both"/>
      </w:pPr>
    </w:p>
    <w:p w14:paraId="5D8B1624" w14:textId="7DD8AB79" w:rsidR="00015359" w:rsidRDefault="007135C9" w:rsidP="00015359">
      <w:pPr>
        <w:spacing w:after="0" w:line="240" w:lineRule="auto"/>
        <w:jc w:val="both"/>
      </w:pPr>
      <w:r w:rsidRPr="00015359">
        <w:t>59 000 étudiants dont 10 000 étudiants internationaux et 2 900 doctorants, et plus de 7 700 personnels se répartissent sur plusieurs campus de Grenoble et Valence principalement. Les organismes nationaux de recherche CEA, CNRS, Inria et Inserm sont associés encore plus étroitement à l’Université Grenoble Alpes pour développer une politique commune en recherche et valorisation à l’échelle internationale.</w:t>
      </w:r>
      <w:r w:rsidR="00BB56E4">
        <w:t xml:space="preserve"> </w:t>
      </w:r>
      <w:r w:rsidRPr="00015359">
        <w:t>Les relations avec l’INRAE, l’IRD et le CHU Grenoble Alpes sont également favorisées.</w:t>
      </w:r>
    </w:p>
    <w:p w14:paraId="1F4B58D2" w14:textId="5C7722B9" w:rsidR="007135C9" w:rsidRDefault="00B74370" w:rsidP="00015359">
      <w:pPr>
        <w:spacing w:after="0" w:line="240" w:lineRule="auto"/>
        <w:jc w:val="both"/>
        <w:rPr>
          <w:rStyle w:val="Lienhypertexte"/>
          <w:b/>
          <w:color w:val="002060"/>
        </w:rPr>
      </w:pPr>
      <w:hyperlink r:id="rId10" w:history="1">
        <w:r w:rsidR="00015359" w:rsidRPr="00015359">
          <w:rPr>
            <w:rStyle w:val="Lienhypertexte"/>
            <w:b/>
            <w:color w:val="002060"/>
          </w:rPr>
          <w:t>https://www.univ-grenoble-alpes.fr/</w:t>
        </w:r>
      </w:hyperlink>
    </w:p>
    <w:p w14:paraId="617BFE5A" w14:textId="6CD9B928" w:rsidR="000B002E" w:rsidRDefault="000B002E" w:rsidP="00015359">
      <w:pPr>
        <w:spacing w:after="0" w:line="240" w:lineRule="auto"/>
        <w:jc w:val="both"/>
        <w:rPr>
          <w:rStyle w:val="Lienhypertexte"/>
          <w:b/>
          <w:color w:val="002060"/>
        </w:rPr>
      </w:pPr>
    </w:p>
    <w:p w14:paraId="706A3C3C" w14:textId="56D3EE5B" w:rsidR="000B002E" w:rsidRPr="00015359" w:rsidRDefault="000B002E" w:rsidP="00015359">
      <w:pPr>
        <w:spacing w:after="0" w:line="240" w:lineRule="auto"/>
        <w:jc w:val="both"/>
        <w:rPr>
          <w:b/>
        </w:rPr>
      </w:pPr>
    </w:p>
    <w:p w14:paraId="6DDC179B" w14:textId="77777777" w:rsidR="00261292" w:rsidRPr="00261292" w:rsidRDefault="00261292" w:rsidP="00261292">
      <w:pPr>
        <w:spacing w:after="0" w:line="240" w:lineRule="auto"/>
        <w:rPr>
          <w:b/>
          <w:color w:val="002060"/>
          <w:sz w:val="24"/>
          <w:szCs w:val="24"/>
        </w:rPr>
      </w:pPr>
      <w:r w:rsidRPr="00261292">
        <w:rPr>
          <w:b/>
          <w:color w:val="002060"/>
          <w:sz w:val="24"/>
          <w:szCs w:val="24"/>
        </w:rPr>
        <w:t xml:space="preserve">Linksium, SATT Grenoble Alpes </w:t>
      </w:r>
    </w:p>
    <w:p w14:paraId="52F67CC3" w14:textId="6F838B5D" w:rsidR="00261292" w:rsidRPr="00261292" w:rsidRDefault="00261292" w:rsidP="00261292">
      <w:pPr>
        <w:spacing w:after="0" w:line="240" w:lineRule="auto"/>
        <w:jc w:val="both"/>
      </w:pPr>
      <w:r w:rsidRPr="00261292">
        <w:t xml:space="preserve">Linksium est la société d’accélération du transfert de technologies (SATT) des laboratoires de recherche de Grenoble Alpes vers le monde de l’entreprise. Linksium privilégie la création de startups qui deviennent les vecteurs du transfert de technologies. Linksium fait partie du réseau des 13 SATT françaises spécialisées sur les phases amont des projets d’innovation technologique. Linksium est une société privée à capitaux publics qui bénéficie d’un engagement de l’Etat via le Programme d’investissements d’avenir (PIA), du soutien de la Région Auvergne Rhône Alpes et de </w:t>
      </w:r>
      <w:r w:rsidR="00BB56E4">
        <w:t>l</w:t>
      </w:r>
      <w:r w:rsidRPr="00261292">
        <w:t xml:space="preserve">'Europe (FEDER), et dont les actionnaires sont </w:t>
      </w:r>
      <w:r w:rsidR="00BB56E4" w:rsidRPr="00261292">
        <w:t>B</w:t>
      </w:r>
      <w:r w:rsidR="00BB56E4">
        <w:t>pi</w:t>
      </w:r>
      <w:r w:rsidR="00BB56E4" w:rsidRPr="00261292">
        <w:t>france</w:t>
      </w:r>
      <w:r w:rsidRPr="00261292">
        <w:t xml:space="preserve">, CEA, CNRS, Grenoble INP-UGA, INRIA, UGA, USMB. Depuis </w:t>
      </w:r>
      <w:r w:rsidRPr="00261292">
        <w:lastRenderedPageBreak/>
        <w:t xml:space="preserve">2015, avec une dotation de 53M€ investis, Linksium a accompagné 214 projets deeptech, valorisé 171 brevets et a permis la création de 74 startups. </w:t>
      </w:r>
      <w:r w:rsidRPr="00261292">
        <w:rPr>
          <w:b/>
          <w:bCs/>
          <w:color w:val="002060"/>
        </w:rPr>
        <w:t>https://www.linksium.fr/</w:t>
      </w:r>
    </w:p>
    <w:p w14:paraId="1EDDDBB8" w14:textId="4042EB6C" w:rsidR="000B002E" w:rsidRDefault="000B002E" w:rsidP="00015359">
      <w:pPr>
        <w:pBdr>
          <w:bottom w:val="single" w:sz="4" w:space="1" w:color="auto"/>
        </w:pBdr>
        <w:jc w:val="both"/>
      </w:pPr>
    </w:p>
    <w:p w14:paraId="624E764F" w14:textId="77777777" w:rsidR="000B002E" w:rsidRDefault="000B002E" w:rsidP="00015359">
      <w:pPr>
        <w:pBdr>
          <w:bottom w:val="single" w:sz="4" w:space="1" w:color="auto"/>
        </w:pBdr>
        <w:jc w:val="both"/>
      </w:pPr>
    </w:p>
    <w:p w14:paraId="37B8A5B5" w14:textId="53AF4765" w:rsidR="00015359" w:rsidRDefault="00015359" w:rsidP="00015359">
      <w:pPr>
        <w:tabs>
          <w:tab w:val="left" w:pos="4678"/>
        </w:tabs>
        <w:spacing w:after="0" w:line="240" w:lineRule="auto"/>
        <w:ind w:right="-859"/>
        <w:rPr>
          <w:b/>
          <w:sz w:val="28"/>
          <w:szCs w:val="28"/>
        </w:rPr>
      </w:pPr>
      <w:r>
        <w:rPr>
          <w:b/>
          <w:sz w:val="28"/>
          <w:szCs w:val="28"/>
        </w:rPr>
        <w:t>Contact</w:t>
      </w:r>
      <w:r w:rsidR="000B002E">
        <w:rPr>
          <w:b/>
          <w:sz w:val="28"/>
          <w:szCs w:val="28"/>
        </w:rPr>
        <w:t>s</w:t>
      </w:r>
      <w:r>
        <w:rPr>
          <w:b/>
          <w:sz w:val="28"/>
          <w:szCs w:val="28"/>
        </w:rPr>
        <w:t xml:space="preserve"> presse</w:t>
      </w:r>
    </w:p>
    <w:p w14:paraId="41B9F190" w14:textId="77777777" w:rsidR="00015359" w:rsidRDefault="00015359" w:rsidP="00015359">
      <w:pPr>
        <w:tabs>
          <w:tab w:val="left" w:pos="4678"/>
        </w:tabs>
        <w:spacing w:after="0" w:line="240" w:lineRule="auto"/>
        <w:ind w:right="-859"/>
        <w:rPr>
          <w:b/>
        </w:rPr>
      </w:pPr>
      <w:r>
        <w:rPr>
          <w:b/>
        </w:rPr>
        <w:t xml:space="preserve">Muriel Jakobiak-Fontana </w:t>
      </w:r>
    </w:p>
    <w:p w14:paraId="1574EEDE" w14:textId="77777777" w:rsidR="00015359" w:rsidRDefault="00015359" w:rsidP="00015359">
      <w:pPr>
        <w:tabs>
          <w:tab w:val="left" w:pos="4678"/>
        </w:tabs>
        <w:spacing w:after="0" w:line="240" w:lineRule="auto"/>
        <w:ind w:right="-859"/>
      </w:pPr>
      <w:r>
        <w:t xml:space="preserve">Directrice adjointe communication - Université Grenoble Alpes </w:t>
      </w:r>
    </w:p>
    <w:p w14:paraId="41FC6E0D" w14:textId="77777777" w:rsidR="00015359" w:rsidRDefault="00015359" w:rsidP="00015359">
      <w:pPr>
        <w:tabs>
          <w:tab w:val="left" w:pos="4678"/>
        </w:tabs>
        <w:spacing w:after="0" w:line="240" w:lineRule="auto"/>
        <w:ind w:right="-859"/>
      </w:pPr>
      <w:r>
        <w:t>muriel.jakobiak@univ-grenoble-alpes.fr</w:t>
      </w:r>
    </w:p>
    <w:p w14:paraId="0C16B36E" w14:textId="7E05C0A7" w:rsidR="00015359" w:rsidRDefault="00015359" w:rsidP="00015359">
      <w:pPr>
        <w:tabs>
          <w:tab w:val="left" w:pos="4678"/>
        </w:tabs>
        <w:spacing w:after="0" w:line="240" w:lineRule="auto"/>
        <w:ind w:right="-859"/>
      </w:pPr>
      <w:r>
        <w:t>mob : 06 71 06 92 26</w:t>
      </w:r>
    </w:p>
    <w:p w14:paraId="5DEE3A1B" w14:textId="0652C609" w:rsidR="00015359" w:rsidRDefault="00015359" w:rsidP="00015359">
      <w:pPr>
        <w:tabs>
          <w:tab w:val="left" w:pos="4678"/>
        </w:tabs>
        <w:spacing w:after="0" w:line="240" w:lineRule="auto"/>
        <w:ind w:right="-859"/>
      </w:pPr>
    </w:p>
    <w:p w14:paraId="48733A3C" w14:textId="204BBE44" w:rsidR="00261292" w:rsidRDefault="00261292" w:rsidP="00261292">
      <w:pPr>
        <w:tabs>
          <w:tab w:val="left" w:pos="4678"/>
        </w:tabs>
        <w:spacing w:after="0" w:line="240" w:lineRule="auto"/>
        <w:ind w:right="-859"/>
        <w:rPr>
          <w:b/>
        </w:rPr>
      </w:pPr>
      <w:r>
        <w:rPr>
          <w:b/>
        </w:rPr>
        <w:t>Véronique Souverain</w:t>
      </w:r>
    </w:p>
    <w:p w14:paraId="078DEA9D" w14:textId="729C4367" w:rsidR="00261292" w:rsidRDefault="00261292" w:rsidP="00261292">
      <w:pPr>
        <w:tabs>
          <w:tab w:val="left" w:pos="4678"/>
        </w:tabs>
        <w:spacing w:after="0" w:line="240" w:lineRule="auto"/>
        <w:ind w:right="-859"/>
      </w:pPr>
      <w:r>
        <w:t>Responsable Communication - Linksium, SATT Grenoble Alpes</w:t>
      </w:r>
    </w:p>
    <w:p w14:paraId="6A6E4234" w14:textId="5CA751A9" w:rsidR="00261292" w:rsidRPr="00261292" w:rsidRDefault="008344B7" w:rsidP="00261292">
      <w:pPr>
        <w:tabs>
          <w:tab w:val="left" w:pos="4678"/>
        </w:tabs>
        <w:spacing w:after="0" w:line="240" w:lineRule="auto"/>
        <w:ind w:right="-859"/>
        <w:rPr>
          <w:lang w:val="en-GB"/>
        </w:rPr>
      </w:pPr>
      <w:hyperlink r:id="rId11" w:history="1">
        <w:r w:rsidR="00261292" w:rsidRPr="00261292">
          <w:rPr>
            <w:rStyle w:val="Lienhypertexte"/>
            <w:lang w:val="en-GB"/>
          </w:rPr>
          <w:t>Veronique.souverain@linksium.fr</w:t>
        </w:r>
      </w:hyperlink>
      <w:r w:rsidR="00261292" w:rsidRPr="00261292">
        <w:rPr>
          <w:lang w:val="en-GB"/>
        </w:rPr>
        <w:t xml:space="preserve"> </w:t>
      </w:r>
    </w:p>
    <w:p w14:paraId="22EEB56F" w14:textId="22B02BF4" w:rsidR="00261292" w:rsidRPr="00261292" w:rsidRDefault="00B74370" w:rsidP="00261292">
      <w:pPr>
        <w:tabs>
          <w:tab w:val="left" w:pos="4678"/>
        </w:tabs>
        <w:spacing w:after="0" w:line="240" w:lineRule="auto"/>
        <w:ind w:right="-859"/>
        <w:rPr>
          <w:lang w:val="en-GB"/>
        </w:rPr>
      </w:pPr>
      <w:r w:rsidRPr="00261292">
        <w:rPr>
          <w:lang w:val="en-GB"/>
        </w:rPr>
        <w:t>mob:</w:t>
      </w:r>
      <w:r w:rsidR="00261292" w:rsidRPr="00261292">
        <w:rPr>
          <w:lang w:val="en-GB"/>
        </w:rPr>
        <w:t xml:space="preserve"> </w:t>
      </w:r>
      <w:r w:rsidR="00261292">
        <w:rPr>
          <w:lang w:val="en-GB"/>
        </w:rPr>
        <w:t>06 14 16 87 51</w:t>
      </w:r>
    </w:p>
    <w:p w14:paraId="269EDE08" w14:textId="77777777" w:rsidR="00015359" w:rsidRPr="00261292" w:rsidRDefault="00015359" w:rsidP="00015359">
      <w:pPr>
        <w:rPr>
          <w:lang w:val="en-GB"/>
        </w:rPr>
      </w:pPr>
    </w:p>
    <w:sectPr w:rsidR="00015359" w:rsidRPr="00261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2076B"/>
    <w:multiLevelType w:val="hybridMultilevel"/>
    <w:tmpl w:val="9BEEA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07481E"/>
    <w:multiLevelType w:val="hybridMultilevel"/>
    <w:tmpl w:val="E95AD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6372C1"/>
    <w:multiLevelType w:val="hybridMultilevel"/>
    <w:tmpl w:val="569E7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873443">
    <w:abstractNumId w:val="0"/>
  </w:num>
  <w:num w:numId="2" w16cid:durableId="607664418">
    <w:abstractNumId w:val="1"/>
  </w:num>
  <w:num w:numId="3" w16cid:durableId="959804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A8E"/>
    <w:rsid w:val="00015359"/>
    <w:rsid w:val="00024956"/>
    <w:rsid w:val="000B002E"/>
    <w:rsid w:val="000E3380"/>
    <w:rsid w:val="000F4470"/>
    <w:rsid w:val="00110E25"/>
    <w:rsid w:val="00120389"/>
    <w:rsid w:val="001673A7"/>
    <w:rsid w:val="001B044E"/>
    <w:rsid w:val="001D2C62"/>
    <w:rsid w:val="001E4375"/>
    <w:rsid w:val="00222669"/>
    <w:rsid w:val="00257156"/>
    <w:rsid w:val="00261292"/>
    <w:rsid w:val="002A4CF5"/>
    <w:rsid w:val="00315AB4"/>
    <w:rsid w:val="003347AD"/>
    <w:rsid w:val="00335D7D"/>
    <w:rsid w:val="0037791A"/>
    <w:rsid w:val="0039682C"/>
    <w:rsid w:val="003E3FD0"/>
    <w:rsid w:val="003F0A9B"/>
    <w:rsid w:val="00401A92"/>
    <w:rsid w:val="004052C7"/>
    <w:rsid w:val="0043068E"/>
    <w:rsid w:val="00430D04"/>
    <w:rsid w:val="004D4F44"/>
    <w:rsid w:val="004E395B"/>
    <w:rsid w:val="005259E3"/>
    <w:rsid w:val="00526455"/>
    <w:rsid w:val="005476B8"/>
    <w:rsid w:val="005921C3"/>
    <w:rsid w:val="005C3B73"/>
    <w:rsid w:val="005C59EC"/>
    <w:rsid w:val="006125F9"/>
    <w:rsid w:val="00621D91"/>
    <w:rsid w:val="007126D6"/>
    <w:rsid w:val="007135C9"/>
    <w:rsid w:val="007455D4"/>
    <w:rsid w:val="00752DD2"/>
    <w:rsid w:val="00753FCB"/>
    <w:rsid w:val="00776D85"/>
    <w:rsid w:val="007B7315"/>
    <w:rsid w:val="007F74C8"/>
    <w:rsid w:val="00807435"/>
    <w:rsid w:val="008169AA"/>
    <w:rsid w:val="008310C4"/>
    <w:rsid w:val="008344B7"/>
    <w:rsid w:val="00874877"/>
    <w:rsid w:val="00930168"/>
    <w:rsid w:val="009465E6"/>
    <w:rsid w:val="0095126C"/>
    <w:rsid w:val="00961A8E"/>
    <w:rsid w:val="009A728C"/>
    <w:rsid w:val="009B54E8"/>
    <w:rsid w:val="009C4D65"/>
    <w:rsid w:val="009D065A"/>
    <w:rsid w:val="009D6830"/>
    <w:rsid w:val="009E4312"/>
    <w:rsid w:val="00A04EB9"/>
    <w:rsid w:val="00A2481D"/>
    <w:rsid w:val="00A85FD1"/>
    <w:rsid w:val="00AB2633"/>
    <w:rsid w:val="00AE36A9"/>
    <w:rsid w:val="00B4529C"/>
    <w:rsid w:val="00B656A7"/>
    <w:rsid w:val="00B74370"/>
    <w:rsid w:val="00B8724E"/>
    <w:rsid w:val="00BB56E4"/>
    <w:rsid w:val="00BD735E"/>
    <w:rsid w:val="00C22C18"/>
    <w:rsid w:val="00C63B49"/>
    <w:rsid w:val="00C98641"/>
    <w:rsid w:val="00CD103E"/>
    <w:rsid w:val="00CD689C"/>
    <w:rsid w:val="00D14EA6"/>
    <w:rsid w:val="00D15B29"/>
    <w:rsid w:val="00D66407"/>
    <w:rsid w:val="00D86E9E"/>
    <w:rsid w:val="00DA09C8"/>
    <w:rsid w:val="00DA55EF"/>
    <w:rsid w:val="00DD04C4"/>
    <w:rsid w:val="00DF085F"/>
    <w:rsid w:val="00E20612"/>
    <w:rsid w:val="00E367D4"/>
    <w:rsid w:val="00E40C5C"/>
    <w:rsid w:val="00EF0CC4"/>
    <w:rsid w:val="00EF198E"/>
    <w:rsid w:val="00F56BB5"/>
    <w:rsid w:val="00F722B1"/>
    <w:rsid w:val="00F911F4"/>
    <w:rsid w:val="00FA5511"/>
    <w:rsid w:val="00FA59F5"/>
    <w:rsid w:val="00FB5E0B"/>
    <w:rsid w:val="021A740A"/>
    <w:rsid w:val="047CF959"/>
    <w:rsid w:val="075054AC"/>
    <w:rsid w:val="0C02EC45"/>
    <w:rsid w:val="0D15F430"/>
    <w:rsid w:val="11F3B143"/>
    <w:rsid w:val="13C01509"/>
    <w:rsid w:val="1640156D"/>
    <w:rsid w:val="167F3540"/>
    <w:rsid w:val="1BBB4CDD"/>
    <w:rsid w:val="1ED9D1FF"/>
    <w:rsid w:val="23BD1076"/>
    <w:rsid w:val="24C9FBC6"/>
    <w:rsid w:val="25F7F032"/>
    <w:rsid w:val="27068387"/>
    <w:rsid w:val="2D6B5729"/>
    <w:rsid w:val="2EAD4FFD"/>
    <w:rsid w:val="3D3CEC83"/>
    <w:rsid w:val="3D932A96"/>
    <w:rsid w:val="45E2B03F"/>
    <w:rsid w:val="4C5CDAB4"/>
    <w:rsid w:val="5441C6DD"/>
    <w:rsid w:val="5448CF99"/>
    <w:rsid w:val="559AE78E"/>
    <w:rsid w:val="58E6CB40"/>
    <w:rsid w:val="5B48EC84"/>
    <w:rsid w:val="5C1B69AC"/>
    <w:rsid w:val="5C450867"/>
    <w:rsid w:val="63D1EFB0"/>
    <w:rsid w:val="65632BBF"/>
    <w:rsid w:val="66285C9E"/>
    <w:rsid w:val="6755E252"/>
    <w:rsid w:val="675A3AA8"/>
    <w:rsid w:val="67DC8167"/>
    <w:rsid w:val="6C6CA869"/>
    <w:rsid w:val="705997D3"/>
    <w:rsid w:val="731DD4F5"/>
    <w:rsid w:val="748CE2A4"/>
    <w:rsid w:val="779691AD"/>
    <w:rsid w:val="7CC32BA3"/>
    <w:rsid w:val="7D3C10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A9BA"/>
  <w15:chartTrackingRefBased/>
  <w15:docId w15:val="{D4F5542C-B7DF-4F83-A3BA-0CFD1CAB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
    <w:name w:val="para"/>
    <w:basedOn w:val="Normal"/>
    <w:qFormat/>
    <w:rsid w:val="00F56BB5"/>
    <w:pPr>
      <w:spacing w:after="0" w:line="276" w:lineRule="auto"/>
      <w:ind w:firstLine="539"/>
      <w:jc w:val="both"/>
    </w:pPr>
    <w:rPr>
      <w:szCs w:val="24"/>
      <w:lang w:val="en-US"/>
    </w:rPr>
  </w:style>
  <w:style w:type="paragraph" w:styleId="NormalWeb">
    <w:name w:val="Normal (Web)"/>
    <w:basedOn w:val="Normal"/>
    <w:uiPriority w:val="99"/>
    <w:unhideWhenUsed/>
    <w:rsid w:val="00F56BB5"/>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E40C5C"/>
    <w:pPr>
      <w:ind w:left="720"/>
      <w:contextualSpacing/>
    </w:pPr>
  </w:style>
  <w:style w:type="character" w:styleId="Lienhypertexte">
    <w:name w:val="Hyperlink"/>
    <w:basedOn w:val="Policepardfaut"/>
    <w:uiPriority w:val="99"/>
    <w:unhideWhenUsed/>
    <w:rsid w:val="00015359"/>
    <w:rPr>
      <w:color w:val="0563C1" w:themeColor="hyperlink"/>
      <w:u w:val="single"/>
    </w:rPr>
  </w:style>
  <w:style w:type="character" w:customStyle="1" w:styleId="Mentionnonrsolue1">
    <w:name w:val="Mention non résolue1"/>
    <w:basedOn w:val="Policepardfaut"/>
    <w:uiPriority w:val="99"/>
    <w:semiHidden/>
    <w:unhideWhenUsed/>
    <w:rsid w:val="00015359"/>
    <w:rPr>
      <w:color w:val="605E5C"/>
      <w:shd w:val="clear" w:color="auto" w:fill="E1DFDD"/>
    </w:rPr>
  </w:style>
  <w:style w:type="paragraph" w:styleId="Textedebulles">
    <w:name w:val="Balloon Text"/>
    <w:basedOn w:val="Normal"/>
    <w:link w:val="TextedebullesCar"/>
    <w:uiPriority w:val="99"/>
    <w:semiHidden/>
    <w:unhideWhenUsed/>
    <w:rsid w:val="00EF19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198E"/>
    <w:rPr>
      <w:rFonts w:ascii="Segoe UI" w:hAnsi="Segoe UI" w:cs="Segoe UI"/>
      <w:sz w:val="18"/>
      <w:szCs w:val="18"/>
    </w:rPr>
  </w:style>
  <w:style w:type="character" w:styleId="Marquedecommentaire">
    <w:name w:val="annotation reference"/>
    <w:basedOn w:val="Policepardfaut"/>
    <w:uiPriority w:val="99"/>
    <w:semiHidden/>
    <w:unhideWhenUsed/>
    <w:rsid w:val="001B044E"/>
    <w:rPr>
      <w:sz w:val="16"/>
      <w:szCs w:val="16"/>
    </w:rPr>
  </w:style>
  <w:style w:type="paragraph" w:styleId="Commentaire">
    <w:name w:val="annotation text"/>
    <w:basedOn w:val="Normal"/>
    <w:link w:val="CommentaireCar"/>
    <w:uiPriority w:val="99"/>
    <w:unhideWhenUsed/>
    <w:rsid w:val="001B044E"/>
    <w:pPr>
      <w:spacing w:line="240" w:lineRule="auto"/>
    </w:pPr>
    <w:rPr>
      <w:sz w:val="20"/>
      <w:szCs w:val="20"/>
    </w:rPr>
  </w:style>
  <w:style w:type="character" w:customStyle="1" w:styleId="CommentaireCar">
    <w:name w:val="Commentaire Car"/>
    <w:basedOn w:val="Policepardfaut"/>
    <w:link w:val="Commentaire"/>
    <w:uiPriority w:val="99"/>
    <w:rsid w:val="001B044E"/>
    <w:rPr>
      <w:sz w:val="20"/>
      <w:szCs w:val="20"/>
    </w:rPr>
  </w:style>
  <w:style w:type="paragraph" w:styleId="Objetducommentaire">
    <w:name w:val="annotation subject"/>
    <w:basedOn w:val="Commentaire"/>
    <w:next w:val="Commentaire"/>
    <w:link w:val="ObjetducommentaireCar"/>
    <w:uiPriority w:val="99"/>
    <w:semiHidden/>
    <w:unhideWhenUsed/>
    <w:rsid w:val="001B044E"/>
    <w:rPr>
      <w:b/>
      <w:bCs/>
    </w:rPr>
  </w:style>
  <w:style w:type="character" w:customStyle="1" w:styleId="ObjetducommentaireCar">
    <w:name w:val="Objet du commentaire Car"/>
    <w:basedOn w:val="CommentaireCar"/>
    <w:link w:val="Objetducommentaire"/>
    <w:uiPriority w:val="99"/>
    <w:semiHidden/>
    <w:rsid w:val="001B044E"/>
    <w:rPr>
      <w:b/>
      <w:bCs/>
      <w:sz w:val="20"/>
      <w:szCs w:val="20"/>
    </w:rPr>
  </w:style>
  <w:style w:type="paragraph" w:customStyle="1" w:styleId="Default">
    <w:name w:val="Default"/>
    <w:rsid w:val="002612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nonrsolue2">
    <w:name w:val="Mention non résolue2"/>
    <w:basedOn w:val="Policepardfaut"/>
    <w:uiPriority w:val="99"/>
    <w:semiHidden/>
    <w:unhideWhenUsed/>
    <w:rsid w:val="00261292"/>
    <w:rPr>
      <w:color w:val="605E5C"/>
      <w:shd w:val="clear" w:color="auto" w:fill="E1DFDD"/>
    </w:rPr>
  </w:style>
  <w:style w:type="paragraph" w:styleId="Rvision">
    <w:name w:val="Revision"/>
    <w:hidden/>
    <w:uiPriority w:val="99"/>
    <w:semiHidden/>
    <w:rsid w:val="008074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4895">
      <w:bodyDiv w:val="1"/>
      <w:marLeft w:val="0"/>
      <w:marRight w:val="0"/>
      <w:marTop w:val="0"/>
      <w:marBottom w:val="0"/>
      <w:divBdr>
        <w:top w:val="none" w:sz="0" w:space="0" w:color="auto"/>
        <w:left w:val="none" w:sz="0" w:space="0" w:color="auto"/>
        <w:bottom w:val="none" w:sz="0" w:space="0" w:color="auto"/>
        <w:right w:val="none" w:sz="0" w:space="0" w:color="auto"/>
      </w:divBdr>
    </w:div>
    <w:div w:id="1370908784">
      <w:bodyDiv w:val="1"/>
      <w:marLeft w:val="0"/>
      <w:marRight w:val="0"/>
      <w:marTop w:val="0"/>
      <w:marBottom w:val="0"/>
      <w:divBdr>
        <w:top w:val="none" w:sz="0" w:space="0" w:color="auto"/>
        <w:left w:val="none" w:sz="0" w:space="0" w:color="auto"/>
        <w:bottom w:val="none" w:sz="0" w:space="0" w:color="auto"/>
        <w:right w:val="none" w:sz="0" w:space="0" w:color="auto"/>
      </w:divBdr>
    </w:div>
    <w:div w:id="1908370767">
      <w:bodyDiv w:val="1"/>
      <w:marLeft w:val="0"/>
      <w:marRight w:val="0"/>
      <w:marTop w:val="0"/>
      <w:marBottom w:val="0"/>
      <w:divBdr>
        <w:top w:val="none" w:sz="0" w:space="0" w:color="auto"/>
        <w:left w:val="none" w:sz="0" w:space="0" w:color="auto"/>
        <w:bottom w:val="none" w:sz="0" w:space="0" w:color="auto"/>
        <w:right w:val="none" w:sz="0" w:space="0" w:color="auto"/>
      </w:divBdr>
      <w:divsChild>
        <w:div w:id="890312541">
          <w:marLeft w:val="0"/>
          <w:marRight w:val="0"/>
          <w:marTop w:val="0"/>
          <w:marBottom w:val="0"/>
          <w:divBdr>
            <w:top w:val="none" w:sz="0" w:space="0" w:color="auto"/>
            <w:left w:val="none" w:sz="0" w:space="0" w:color="auto"/>
            <w:bottom w:val="none" w:sz="0" w:space="0" w:color="auto"/>
            <w:right w:val="none" w:sz="0" w:space="0" w:color="auto"/>
          </w:divBdr>
        </w:div>
        <w:div w:id="1207572031">
          <w:marLeft w:val="0"/>
          <w:marRight w:val="0"/>
          <w:marTop w:val="0"/>
          <w:marBottom w:val="0"/>
          <w:divBdr>
            <w:top w:val="none" w:sz="0" w:space="0" w:color="auto"/>
            <w:left w:val="none" w:sz="0" w:space="0" w:color="auto"/>
            <w:bottom w:val="none" w:sz="0" w:space="0" w:color="auto"/>
            <w:right w:val="none" w:sz="0" w:space="0" w:color="auto"/>
          </w:divBdr>
        </w:div>
        <w:div w:id="1585144995">
          <w:marLeft w:val="0"/>
          <w:marRight w:val="0"/>
          <w:marTop w:val="0"/>
          <w:marBottom w:val="0"/>
          <w:divBdr>
            <w:top w:val="none" w:sz="0" w:space="0" w:color="auto"/>
            <w:left w:val="none" w:sz="0" w:space="0" w:color="auto"/>
            <w:bottom w:val="none" w:sz="0" w:space="0" w:color="auto"/>
            <w:right w:val="none" w:sz="0" w:space="0" w:color="auto"/>
          </w:divBdr>
          <w:divsChild>
            <w:div w:id="1133981494">
              <w:marLeft w:val="0"/>
              <w:marRight w:val="0"/>
              <w:marTop w:val="0"/>
              <w:marBottom w:val="0"/>
              <w:divBdr>
                <w:top w:val="none" w:sz="0" w:space="0" w:color="auto"/>
                <w:left w:val="none" w:sz="0" w:space="0" w:color="auto"/>
                <w:bottom w:val="none" w:sz="0" w:space="0" w:color="auto"/>
                <w:right w:val="none" w:sz="0" w:space="0" w:color="auto"/>
              </w:divBdr>
            </w:div>
          </w:divsChild>
        </w:div>
        <w:div w:id="1990665485">
          <w:marLeft w:val="0"/>
          <w:marRight w:val="0"/>
          <w:marTop w:val="0"/>
          <w:marBottom w:val="0"/>
          <w:divBdr>
            <w:top w:val="none" w:sz="0" w:space="0" w:color="auto"/>
            <w:left w:val="none" w:sz="0" w:space="0" w:color="auto"/>
            <w:bottom w:val="none" w:sz="0" w:space="0" w:color="auto"/>
            <w:right w:val="none" w:sz="0" w:space="0" w:color="auto"/>
          </w:divBdr>
        </w:div>
      </w:divsChild>
    </w:div>
    <w:div w:id="1959142915">
      <w:bodyDiv w:val="1"/>
      <w:marLeft w:val="0"/>
      <w:marRight w:val="0"/>
      <w:marTop w:val="0"/>
      <w:marBottom w:val="0"/>
      <w:divBdr>
        <w:top w:val="none" w:sz="0" w:space="0" w:color="auto"/>
        <w:left w:val="none" w:sz="0" w:space="0" w:color="auto"/>
        <w:bottom w:val="none" w:sz="0" w:space="0" w:color="auto"/>
        <w:right w:val="none" w:sz="0" w:space="0" w:color="auto"/>
      </w:divBdr>
      <w:divsChild>
        <w:div w:id="1643653416">
          <w:marLeft w:val="170"/>
          <w:marRight w:val="0"/>
          <w:marTop w:val="0"/>
          <w:marBottom w:val="0"/>
          <w:divBdr>
            <w:top w:val="single" w:sz="18" w:space="1" w:color="C00000"/>
            <w:left w:val="single" w:sz="18" w:space="4" w:color="C00000"/>
            <w:bottom w:val="single" w:sz="18" w:space="1" w:color="C00000"/>
            <w:right w:val="single" w:sz="18" w:space="4" w:color="C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ronique.souverain@linksium.fr" TargetMode="External"/><Relationship Id="rId5" Type="http://schemas.openxmlformats.org/officeDocument/2006/relationships/styles" Target="styles.xml"/><Relationship Id="rId10" Type="http://schemas.openxmlformats.org/officeDocument/2006/relationships/hyperlink" Target="https://www.univ-grenoble-alpes.fr/"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8AA721E4ACF439C28C966B6E5318B" ma:contentTypeVersion="16" ma:contentTypeDescription="Crée un document." ma:contentTypeScope="" ma:versionID="6021f67868c1e2dc8eb277886db2131f">
  <xsd:schema xmlns:xsd="http://www.w3.org/2001/XMLSchema" xmlns:xs="http://www.w3.org/2001/XMLSchema" xmlns:p="http://schemas.microsoft.com/office/2006/metadata/properties" xmlns:ns2="a7f769c3-2a16-4374-b568-a3c35797350b" xmlns:ns3="7f429aa1-e603-4479-8fa0-f03ab2c908da" targetNamespace="http://schemas.microsoft.com/office/2006/metadata/properties" ma:root="true" ma:fieldsID="e40e6fa7f5b449f7915cb44696003aeb" ns2:_="" ns3:_="">
    <xsd:import namespace="a7f769c3-2a16-4374-b568-a3c35797350b"/>
    <xsd:import namespace="7f429aa1-e603-4479-8fa0-f03ab2c908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769c3-2a16-4374-b568-a3c357973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0b09137-9f42-4b59-9a0c-e63bfe3b4c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429aa1-e603-4479-8fa0-f03ab2c908d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d57915e-10fc-4e5b-b76a-7607b147eba4}" ma:internalName="TaxCatchAll" ma:showField="CatchAllData" ma:web="7f429aa1-e603-4479-8fa0-f03ab2c90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f769c3-2a16-4374-b568-a3c35797350b">
      <Terms xmlns="http://schemas.microsoft.com/office/infopath/2007/PartnerControls"/>
    </lcf76f155ced4ddcb4097134ff3c332f>
    <TaxCatchAll xmlns="7f429aa1-e603-4479-8fa0-f03ab2c908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34310-4DF2-4964-A234-2E5AAF674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769c3-2a16-4374-b568-a3c35797350b"/>
    <ds:schemaRef ds:uri="7f429aa1-e603-4479-8fa0-f03ab2c90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987DF-8AC6-4591-9E07-E6504DC1DA52}">
  <ds:schemaRefs>
    <ds:schemaRef ds:uri="http://schemas.microsoft.com/office/2006/metadata/properties"/>
    <ds:schemaRef ds:uri="http://schemas.microsoft.com/office/infopath/2007/PartnerControls"/>
    <ds:schemaRef ds:uri="a7f769c3-2a16-4374-b568-a3c35797350b"/>
    <ds:schemaRef ds:uri="7f429aa1-e603-4479-8fa0-f03ab2c908da"/>
  </ds:schemaRefs>
</ds:datastoreItem>
</file>

<file path=customXml/itemProps3.xml><?xml version="1.0" encoding="utf-8"?>
<ds:datastoreItem xmlns:ds="http://schemas.openxmlformats.org/officeDocument/2006/customXml" ds:itemID="{E7EFB070-A3FA-425A-AE3B-BC5B86CD8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1052</Words>
  <Characters>5788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BOUSTIE</dc:creator>
  <cp:keywords/>
  <dc:description/>
  <cp:lastModifiedBy>Véronique SOUVERAIN</cp:lastModifiedBy>
  <cp:revision>3</cp:revision>
  <dcterms:created xsi:type="dcterms:W3CDTF">2023-01-12T14:37:00Z</dcterms:created>
  <dcterms:modified xsi:type="dcterms:W3CDTF">2023-01-12T14:41:00Z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0x0101008AE8AA721E4ACF439C28C966B6E5318B</vt:lpwstr>
  </property>
  <property fmtid="{D5CDD505-2E9C-101B-9397-08002B2CF9AE}" pid="3" name="MediaServiceImageTags">
    <vt:lpwstr/>
  </property>
</Properties>
</file>